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0AA3D" w14:textId="46AEC279" w:rsidR="005D255D" w:rsidRDefault="005D255D" w:rsidP="002D5AEB">
      <w:pPr>
        <w:spacing w:after="0" w:line="240" w:lineRule="auto"/>
        <w:jc w:val="center"/>
        <w:rPr>
          <w:noProof/>
        </w:rPr>
      </w:pPr>
      <w:r>
        <w:rPr>
          <w:noProof/>
        </w:rPr>
        <w:drawing>
          <wp:inline distT="0" distB="0" distL="0" distR="0" wp14:anchorId="66FEC389" wp14:editId="38E8F769">
            <wp:extent cx="1819835" cy="8286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LP Logo -- Staff Use.png"/>
                    <pic:cNvPicPr/>
                  </pic:nvPicPr>
                  <pic:blipFill rotWithShape="1">
                    <a:blip r:embed="rId8" cstate="print">
                      <a:extLst>
                        <a:ext uri="{28A0092B-C50C-407E-A947-70E740481C1C}">
                          <a14:useLocalDpi xmlns:a14="http://schemas.microsoft.com/office/drawing/2010/main" val="0"/>
                        </a:ext>
                      </a:extLst>
                    </a:blip>
                    <a:srcRect l="14361" t="23337" r="14369" b="23927"/>
                    <a:stretch/>
                  </pic:blipFill>
                  <pic:spPr bwMode="auto">
                    <a:xfrm>
                      <a:off x="0" y="0"/>
                      <a:ext cx="1842321" cy="83891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E2E9B09" wp14:editId="7B820DE2">
            <wp:extent cx="917752" cy="1039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FCF - 2013 Hi Res Black Transparent.png"/>
                    <pic:cNvPicPr/>
                  </pic:nvPicPr>
                  <pic:blipFill rotWithShape="1">
                    <a:blip r:embed="rId9" cstate="print">
                      <a:extLst>
                        <a:ext uri="{28A0092B-C50C-407E-A947-70E740481C1C}">
                          <a14:useLocalDpi xmlns:a14="http://schemas.microsoft.com/office/drawing/2010/main" val="0"/>
                        </a:ext>
                      </a:extLst>
                    </a:blip>
                    <a:srcRect l="9091" t="2480" r="9917" b="5786"/>
                    <a:stretch/>
                  </pic:blipFill>
                  <pic:spPr bwMode="auto">
                    <a:xfrm>
                      <a:off x="0" y="0"/>
                      <a:ext cx="923063" cy="1045511"/>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874A750" wp14:editId="2965E317">
            <wp:extent cx="10572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UON-Logo-Circle w Spanish.jpg"/>
                    <pic:cNvPicPr/>
                  </pic:nvPicPr>
                  <pic:blipFill rotWithShape="1">
                    <a:blip r:embed="rId10" cstate="print">
                      <a:extLst>
                        <a:ext uri="{28A0092B-C50C-407E-A947-70E740481C1C}">
                          <a14:useLocalDpi xmlns:a14="http://schemas.microsoft.com/office/drawing/2010/main" val="0"/>
                        </a:ext>
                      </a:extLst>
                    </a:blip>
                    <a:srcRect l="4918" t="4099" r="4099" b="5738"/>
                    <a:stretch/>
                  </pic:blipFill>
                  <pic:spPr bwMode="auto">
                    <a:xfrm>
                      <a:off x="0" y="0"/>
                      <a:ext cx="1057275" cy="104775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9C2C2B6" wp14:editId="20B2B1B8">
            <wp:extent cx="2038412" cy="8375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SPC - Horizontal logo.jpg"/>
                    <pic:cNvPicPr/>
                  </pic:nvPicPr>
                  <pic:blipFill>
                    <a:blip r:embed="rId11">
                      <a:extLst>
                        <a:ext uri="{28A0092B-C50C-407E-A947-70E740481C1C}">
                          <a14:useLocalDpi xmlns:a14="http://schemas.microsoft.com/office/drawing/2010/main" val="0"/>
                        </a:ext>
                      </a:extLst>
                    </a:blip>
                    <a:stretch>
                      <a:fillRect/>
                    </a:stretch>
                  </pic:blipFill>
                  <pic:spPr>
                    <a:xfrm>
                      <a:off x="0" y="0"/>
                      <a:ext cx="2175420" cy="893860"/>
                    </a:xfrm>
                    <a:prstGeom prst="rect">
                      <a:avLst/>
                    </a:prstGeom>
                  </pic:spPr>
                </pic:pic>
              </a:graphicData>
            </a:graphic>
          </wp:inline>
        </w:drawing>
      </w:r>
    </w:p>
    <w:p w14:paraId="1E8DDAA2" w14:textId="77777777" w:rsidR="005D255D" w:rsidRDefault="005D255D" w:rsidP="00D00539">
      <w:pPr>
        <w:spacing w:after="0" w:line="240" w:lineRule="auto"/>
      </w:pPr>
    </w:p>
    <w:p w14:paraId="10AF8784" w14:textId="790793EC" w:rsidR="00CC4979" w:rsidRPr="00D00539" w:rsidRDefault="00CC4979" w:rsidP="00D00539">
      <w:pPr>
        <w:spacing w:after="0" w:line="240" w:lineRule="auto"/>
        <w:rPr>
          <w:b/>
        </w:rPr>
      </w:pPr>
      <w:r w:rsidRPr="005D255D">
        <w:rPr>
          <w:b/>
        </w:rPr>
        <w:t xml:space="preserve">For Immediate Release: </w:t>
      </w:r>
      <w:r w:rsidR="008D5BB7">
        <w:rPr>
          <w:b/>
        </w:rPr>
        <w:t>December</w:t>
      </w:r>
      <w:r w:rsidR="00C47D42">
        <w:rPr>
          <w:b/>
        </w:rPr>
        <w:t xml:space="preserve"> 20</w:t>
      </w:r>
      <w:r w:rsidR="00D00539">
        <w:rPr>
          <w:b/>
        </w:rPr>
        <w:t>, 2017</w:t>
      </w:r>
    </w:p>
    <w:p w14:paraId="4028FE68" w14:textId="3021831C" w:rsidR="00DA28EC" w:rsidRDefault="00561D6B" w:rsidP="00D00539">
      <w:pPr>
        <w:spacing w:after="0" w:line="240" w:lineRule="auto"/>
      </w:pPr>
      <w:r>
        <w:t xml:space="preserve">Contact: </w:t>
      </w:r>
    </w:p>
    <w:p w14:paraId="1F26225D" w14:textId="344F352F" w:rsidR="008F24D1" w:rsidRPr="008F24D1" w:rsidRDefault="008F24D1" w:rsidP="008F24D1">
      <w:pPr>
        <w:pStyle w:val="ListParagraph"/>
        <w:numPr>
          <w:ilvl w:val="0"/>
          <w:numId w:val="2"/>
        </w:numPr>
      </w:pPr>
      <w:r w:rsidRPr="008F24D1">
        <w:t xml:space="preserve">NELP: Anna </w:t>
      </w:r>
      <w:proofErr w:type="spellStart"/>
      <w:r w:rsidRPr="008F24D1">
        <w:t>Susman</w:t>
      </w:r>
      <w:proofErr w:type="spellEnd"/>
      <w:r w:rsidRPr="008F24D1">
        <w:t xml:space="preserve">, </w:t>
      </w:r>
      <w:hyperlink r:id="rId12" w:history="1">
        <w:r w:rsidRPr="005C78D9">
          <w:rPr>
            <w:rStyle w:val="Hyperlink"/>
          </w:rPr>
          <w:t>anna.susman@berlinrosen.com</w:t>
        </w:r>
      </w:hyperlink>
      <w:r w:rsidRPr="008F24D1">
        <w:t>, 646-200-5285</w:t>
      </w:r>
    </w:p>
    <w:p w14:paraId="521A95D0" w14:textId="0FC0BF71" w:rsidR="00DA28EC" w:rsidRDefault="00CC4979" w:rsidP="00D00539">
      <w:pPr>
        <w:pStyle w:val="ListParagraph"/>
        <w:numPr>
          <w:ilvl w:val="0"/>
          <w:numId w:val="2"/>
        </w:numPr>
        <w:spacing w:after="0" w:line="240" w:lineRule="auto"/>
        <w:contextualSpacing w:val="0"/>
      </w:pPr>
      <w:r>
        <w:t xml:space="preserve">LSPC/AOUON: Mark Fujiwara, </w:t>
      </w:r>
      <w:hyperlink r:id="rId13" w:history="1">
        <w:r w:rsidRPr="006D4CE4">
          <w:rPr>
            <w:rStyle w:val="Hyperlink"/>
          </w:rPr>
          <w:t>mc@prisonerswithchildren.org</w:t>
        </w:r>
      </w:hyperlink>
      <w:r>
        <w:t>, 415</w:t>
      </w:r>
      <w:r w:rsidR="008F24D1">
        <w:t>-</w:t>
      </w:r>
      <w:r>
        <w:t>625-7056</w:t>
      </w:r>
    </w:p>
    <w:p w14:paraId="6865DC35" w14:textId="1C61C72A" w:rsidR="002804D6" w:rsidRDefault="002804D6" w:rsidP="002804D6">
      <w:pPr>
        <w:pStyle w:val="ListParagraph"/>
        <w:numPr>
          <w:ilvl w:val="0"/>
          <w:numId w:val="2"/>
        </w:numPr>
        <w:spacing w:after="0" w:line="240" w:lineRule="auto"/>
        <w:contextualSpacing w:val="0"/>
      </w:pPr>
      <w:r>
        <w:rPr>
          <w:rFonts w:ascii="Calibri" w:hAnsi="Calibri" w:cs="Calibri"/>
        </w:rPr>
        <w:t>TFCF</w:t>
      </w:r>
      <w:r w:rsidRPr="00DA28EC">
        <w:rPr>
          <w:rFonts w:ascii="Calibri" w:hAnsi="Calibri" w:cs="Calibri"/>
        </w:rPr>
        <w:t xml:space="preserve">: Jasmine Creighton, </w:t>
      </w:r>
      <w:hyperlink r:id="rId14" w:history="1">
        <w:r w:rsidRPr="00DA28EC">
          <w:rPr>
            <w:rStyle w:val="Hyperlink"/>
            <w:rFonts w:ascii="Calibri" w:hAnsi="Calibri" w:cs="Calibri"/>
          </w:rPr>
          <w:t>jcreighton@timeforchangefoundation.org</w:t>
        </w:r>
      </w:hyperlink>
      <w:r w:rsidRPr="00DA28EC">
        <w:rPr>
          <w:rFonts w:ascii="Calibri" w:hAnsi="Calibri" w:cs="Calibri"/>
        </w:rPr>
        <w:t xml:space="preserve">, </w:t>
      </w:r>
      <w:r>
        <w:rPr>
          <w:rFonts w:ascii="Calibri" w:hAnsi="Calibri" w:cs="Calibri"/>
          <w:shd w:val="clear" w:color="auto" w:fill="FDFDFD"/>
        </w:rPr>
        <w:t>909</w:t>
      </w:r>
      <w:r w:rsidR="008F24D1">
        <w:rPr>
          <w:rFonts w:ascii="Calibri" w:hAnsi="Calibri" w:cs="Calibri"/>
          <w:shd w:val="clear" w:color="auto" w:fill="FDFDFD"/>
        </w:rPr>
        <w:t>-</w:t>
      </w:r>
      <w:r>
        <w:rPr>
          <w:rFonts w:ascii="Calibri" w:hAnsi="Calibri" w:cs="Calibri"/>
          <w:shd w:val="clear" w:color="auto" w:fill="FDFDFD"/>
        </w:rPr>
        <w:t>886-2994</w:t>
      </w:r>
    </w:p>
    <w:p w14:paraId="2345CF87" w14:textId="77777777" w:rsidR="00D00539" w:rsidRPr="00DA28EC" w:rsidRDefault="00D00539" w:rsidP="00D00539">
      <w:pPr>
        <w:spacing w:after="0" w:line="240" w:lineRule="auto"/>
      </w:pPr>
    </w:p>
    <w:p w14:paraId="6B0E73E2" w14:textId="759F7635" w:rsidR="002D4B9C" w:rsidRPr="004E26E0" w:rsidRDefault="008D5BB7" w:rsidP="00D00539">
      <w:pPr>
        <w:spacing w:after="0" w:line="240" w:lineRule="auto"/>
        <w:jc w:val="center"/>
        <w:rPr>
          <w:b/>
          <w:sz w:val="44"/>
          <w:szCs w:val="46"/>
        </w:rPr>
      </w:pPr>
      <w:r w:rsidRPr="004E26E0">
        <w:rPr>
          <w:b/>
          <w:sz w:val="44"/>
          <w:szCs w:val="46"/>
        </w:rPr>
        <w:t xml:space="preserve">California </w:t>
      </w:r>
      <w:r w:rsidR="00C1504A" w:rsidRPr="004E26E0">
        <w:rPr>
          <w:b/>
          <w:sz w:val="44"/>
          <w:szCs w:val="46"/>
        </w:rPr>
        <w:t>Fair Chance Act</w:t>
      </w:r>
      <w:r w:rsidRPr="004E26E0">
        <w:rPr>
          <w:b/>
          <w:sz w:val="44"/>
          <w:szCs w:val="46"/>
        </w:rPr>
        <w:t xml:space="preserve"> Takes Effect January 1</w:t>
      </w:r>
      <w:r w:rsidR="00C1504A" w:rsidRPr="004E26E0">
        <w:rPr>
          <w:b/>
          <w:sz w:val="44"/>
          <w:szCs w:val="46"/>
        </w:rPr>
        <w:t xml:space="preserve">, </w:t>
      </w:r>
      <w:r w:rsidR="00DF63B7" w:rsidRPr="004E26E0">
        <w:rPr>
          <w:b/>
          <w:sz w:val="44"/>
          <w:szCs w:val="46"/>
        </w:rPr>
        <w:t xml:space="preserve">Extending </w:t>
      </w:r>
      <w:r w:rsidR="00C47D42">
        <w:rPr>
          <w:b/>
          <w:sz w:val="44"/>
          <w:szCs w:val="46"/>
        </w:rPr>
        <w:t>‘</w:t>
      </w:r>
      <w:r w:rsidR="00DF63B7" w:rsidRPr="004E26E0">
        <w:rPr>
          <w:b/>
          <w:sz w:val="44"/>
          <w:szCs w:val="46"/>
        </w:rPr>
        <w:t>Ban the Box</w:t>
      </w:r>
      <w:r w:rsidR="00C47D42">
        <w:rPr>
          <w:b/>
          <w:sz w:val="44"/>
          <w:szCs w:val="46"/>
        </w:rPr>
        <w:t>’</w:t>
      </w:r>
      <w:r w:rsidR="00DF63B7" w:rsidRPr="004E26E0">
        <w:rPr>
          <w:b/>
          <w:sz w:val="44"/>
          <w:szCs w:val="46"/>
        </w:rPr>
        <w:t xml:space="preserve"> to Private Employers</w:t>
      </w:r>
    </w:p>
    <w:p w14:paraId="1B02462A" w14:textId="0186BF80" w:rsidR="00F203B9" w:rsidRPr="004E26E0" w:rsidRDefault="004E26E0" w:rsidP="00D00539">
      <w:pPr>
        <w:spacing w:after="0" w:line="240" w:lineRule="auto"/>
        <w:jc w:val="center"/>
        <w:rPr>
          <w:b/>
          <w:sz w:val="28"/>
          <w:szCs w:val="28"/>
        </w:rPr>
      </w:pPr>
      <w:r>
        <w:rPr>
          <w:b/>
          <w:sz w:val="28"/>
          <w:szCs w:val="28"/>
        </w:rPr>
        <w:t>Here’s What California Jobseekers and Employers Need to Know</w:t>
      </w:r>
    </w:p>
    <w:p w14:paraId="53371E0A" w14:textId="77777777" w:rsidR="00D00539" w:rsidRPr="00DE1E15" w:rsidRDefault="00D00539" w:rsidP="00D00539">
      <w:pPr>
        <w:spacing w:after="0" w:line="240" w:lineRule="auto"/>
        <w:jc w:val="center"/>
        <w:rPr>
          <w:b/>
          <w:sz w:val="28"/>
          <w:szCs w:val="28"/>
        </w:rPr>
      </w:pPr>
    </w:p>
    <w:p w14:paraId="414A798C" w14:textId="45185CED" w:rsidR="003C2538" w:rsidRDefault="002D4B9C" w:rsidP="00D00539">
      <w:pPr>
        <w:spacing w:after="0" w:line="240" w:lineRule="auto"/>
      </w:pPr>
      <w:r w:rsidRPr="00DE1E15">
        <w:rPr>
          <w:i/>
        </w:rPr>
        <w:t>Berkeley, CA</w:t>
      </w:r>
      <w:r>
        <w:t xml:space="preserve">. </w:t>
      </w:r>
      <w:r w:rsidR="008D5BB7">
        <w:t xml:space="preserve">The </w:t>
      </w:r>
      <w:hyperlink r:id="rId15" w:history="1">
        <w:r w:rsidR="008D5BB7" w:rsidRPr="00AF3DF0">
          <w:rPr>
            <w:rStyle w:val="Hyperlink"/>
          </w:rPr>
          <w:t>California Fair Chance Act</w:t>
        </w:r>
      </w:hyperlink>
      <w:r w:rsidR="00D04BDC">
        <w:t xml:space="preserve"> (AB 1008),</w:t>
      </w:r>
      <w:r w:rsidR="00AF3DF0">
        <w:t xml:space="preserve"> o</w:t>
      </w:r>
      <w:r w:rsidR="008D5BB7" w:rsidRPr="00DE1E15">
        <w:t xml:space="preserve">ne of the strongest </w:t>
      </w:r>
      <w:r w:rsidR="008D5BB7">
        <w:t>ban-the-box</w:t>
      </w:r>
      <w:r w:rsidR="008D5BB7" w:rsidRPr="00DE1E15">
        <w:t xml:space="preserve"> laws</w:t>
      </w:r>
      <w:r w:rsidR="008D5BB7">
        <w:t xml:space="preserve"> in </w:t>
      </w:r>
      <w:r w:rsidR="004E26E0">
        <w:t>the country</w:t>
      </w:r>
      <w:r w:rsidR="00AF3DF0">
        <w:t>, takes effect January 1, 2018.</w:t>
      </w:r>
      <w:r w:rsidR="008D5BB7">
        <w:t xml:space="preserve"> </w:t>
      </w:r>
      <w:r w:rsidR="00DF63B7">
        <w:t xml:space="preserve">California </w:t>
      </w:r>
      <w:r w:rsidR="00391495">
        <w:t>is</w:t>
      </w:r>
      <w:r w:rsidR="002804D6">
        <w:t xml:space="preserve"> the tenth</w:t>
      </w:r>
      <w:r w:rsidR="00DF63B7">
        <w:t xml:space="preserve"> state to require </w:t>
      </w:r>
      <w:r w:rsidR="00450F4C">
        <w:t xml:space="preserve">both </w:t>
      </w:r>
      <w:r w:rsidR="00180244">
        <w:t xml:space="preserve">public- and private-sector employers to delay </w:t>
      </w:r>
      <w:r w:rsidR="00141941">
        <w:t xml:space="preserve">background checks and </w:t>
      </w:r>
      <w:r w:rsidR="00180244">
        <w:t xml:space="preserve">inquiries about </w:t>
      </w:r>
      <w:r w:rsidR="00C355AB">
        <w:t xml:space="preserve">job applicants’ </w:t>
      </w:r>
      <w:r w:rsidR="00180244">
        <w:t xml:space="preserve">conviction records until </w:t>
      </w:r>
      <w:r w:rsidR="00AF3DF0">
        <w:t>later in the hiring process</w:t>
      </w:r>
      <w:r w:rsidR="00180244">
        <w:t>.</w:t>
      </w:r>
    </w:p>
    <w:p w14:paraId="22E996BD" w14:textId="170C3C1F" w:rsidR="00AF3DF0" w:rsidRDefault="00AF3DF0" w:rsidP="00D00539">
      <w:pPr>
        <w:spacing w:after="0" w:line="240" w:lineRule="auto"/>
      </w:pPr>
    </w:p>
    <w:p w14:paraId="6125C3DA" w14:textId="5794F200" w:rsidR="00E905CF" w:rsidRDefault="00F323B5" w:rsidP="00D00539">
      <w:pPr>
        <w:spacing w:after="0" w:line="240" w:lineRule="auto"/>
      </w:pPr>
      <w:r>
        <w:t>Nearly o</w:t>
      </w:r>
      <w:r w:rsidR="00EF7ED8">
        <w:t>ne</w:t>
      </w:r>
      <w:r w:rsidR="00C355AB">
        <w:t xml:space="preserve"> </w:t>
      </w:r>
      <w:r w:rsidR="00EF7ED8">
        <w:t>in</w:t>
      </w:r>
      <w:r w:rsidR="00C355AB">
        <w:t xml:space="preserve"> </w:t>
      </w:r>
      <w:r w:rsidRPr="00590CCB">
        <w:t xml:space="preserve">three </w:t>
      </w:r>
      <w:r>
        <w:t xml:space="preserve">California adults—disproportionately people of color—have a conviction or arrest record that can show up on an employment background check. The Fair Chance Act </w:t>
      </w:r>
      <w:r w:rsidR="00450F4C">
        <w:t>will help</w:t>
      </w:r>
      <w:r w:rsidR="00141941">
        <w:t xml:space="preserve"> </w:t>
      </w:r>
      <w:r w:rsidR="00C1504A">
        <w:t xml:space="preserve">ensure </w:t>
      </w:r>
      <w:r w:rsidR="00900B98">
        <w:t>that the</w:t>
      </w:r>
      <w:r>
        <w:t>se</w:t>
      </w:r>
      <w:r w:rsidR="00900B98">
        <w:t xml:space="preserve"> </w:t>
      </w:r>
      <w:r w:rsidR="00DE1E15">
        <w:t>eight</w:t>
      </w:r>
      <w:r w:rsidR="00900B98">
        <w:t xml:space="preserve"> million Californians </w:t>
      </w:r>
      <w:r w:rsidR="00752543">
        <w:t>are</w:t>
      </w:r>
      <w:r w:rsidR="00141941">
        <w:t xml:space="preserve"> </w:t>
      </w:r>
      <w:r w:rsidR="00752543">
        <w:t>judged by</w:t>
      </w:r>
      <w:r w:rsidR="00141941">
        <w:t xml:space="preserve"> t</w:t>
      </w:r>
      <w:r w:rsidR="00752543">
        <w:t>heir qualifications and</w:t>
      </w:r>
      <w:r w:rsidR="00141941">
        <w:t xml:space="preserve"> </w:t>
      </w:r>
      <w:r>
        <w:t xml:space="preserve">work </w:t>
      </w:r>
      <w:r w:rsidR="00141941">
        <w:t>experience</w:t>
      </w:r>
      <w:r w:rsidR="0000358F">
        <w:t>—</w:t>
      </w:r>
      <w:r w:rsidR="00752543">
        <w:t xml:space="preserve">not </w:t>
      </w:r>
      <w:r w:rsidR="00141941">
        <w:t xml:space="preserve">rejected </w:t>
      </w:r>
      <w:r>
        <w:t xml:space="preserve">by employers </w:t>
      </w:r>
      <w:r w:rsidR="00141941">
        <w:t>at the start of the hiring process</w:t>
      </w:r>
      <w:r w:rsidR="00AF3DF0">
        <w:t xml:space="preserve"> because of a checked box</w:t>
      </w:r>
      <w:r w:rsidR="00141941">
        <w:t>.</w:t>
      </w:r>
    </w:p>
    <w:p w14:paraId="5DE29935" w14:textId="461F2EE6" w:rsidR="00D62E40" w:rsidRDefault="00D62E40" w:rsidP="00D00539">
      <w:pPr>
        <w:spacing w:after="0" w:line="240" w:lineRule="auto"/>
      </w:pPr>
    </w:p>
    <w:p w14:paraId="32279682" w14:textId="7CF89C91" w:rsidR="009F65F4" w:rsidRDefault="004E26E0" w:rsidP="009F1D31">
      <w:pPr>
        <w:spacing w:after="0" w:line="240" w:lineRule="auto"/>
      </w:pPr>
      <w:r>
        <w:t>Compliance with the new law isn’t complicated, but</w:t>
      </w:r>
      <w:r w:rsidR="005F6A82">
        <w:t>, if a fair chance to work is to become a reality for the millions of Californians with a record,</w:t>
      </w:r>
      <w:r>
        <w:t xml:space="preserve"> jobseekers need to know their rights, and employers, their obligations.</w:t>
      </w:r>
      <w:r w:rsidR="009F1D31">
        <w:t xml:space="preserve"> To that end, the co-sponsors of AB 1008 </w:t>
      </w:r>
      <w:r w:rsidR="00C47D42">
        <w:t xml:space="preserve">have </w:t>
      </w:r>
      <w:r w:rsidR="009F1D31">
        <w:t xml:space="preserve">jointly issued factsheets to </w:t>
      </w:r>
      <w:r w:rsidR="009F1D31" w:rsidRPr="008F24D1">
        <w:t xml:space="preserve">help </w:t>
      </w:r>
      <w:hyperlink r:id="rId16" w:history="1">
        <w:r w:rsidR="009F1D31" w:rsidRPr="008F24D1">
          <w:rPr>
            <w:rStyle w:val="Hyperlink"/>
          </w:rPr>
          <w:t>workers</w:t>
        </w:r>
      </w:hyperlink>
      <w:r w:rsidR="009F1D31" w:rsidRPr="008F24D1">
        <w:t xml:space="preserve"> and </w:t>
      </w:r>
      <w:hyperlink r:id="rId17" w:history="1">
        <w:r w:rsidR="009F1D31" w:rsidRPr="008F24D1">
          <w:rPr>
            <w:rStyle w:val="Hyperlink"/>
          </w:rPr>
          <w:t>employers</w:t>
        </w:r>
      </w:hyperlink>
      <w:r w:rsidR="009F1D31" w:rsidRPr="008F24D1">
        <w:t xml:space="preserve"> </w:t>
      </w:r>
      <w:r w:rsidR="009F1D31">
        <w:t>understand the new law.</w:t>
      </w:r>
    </w:p>
    <w:p w14:paraId="4D113675" w14:textId="6B9747B0" w:rsidR="009F65F4" w:rsidRDefault="009F65F4" w:rsidP="009F65F4">
      <w:pPr>
        <w:spacing w:after="0" w:line="240" w:lineRule="auto"/>
      </w:pPr>
    </w:p>
    <w:p w14:paraId="10D41289" w14:textId="77777777" w:rsidR="008F24D1" w:rsidRPr="008F24D1" w:rsidRDefault="008F24D1" w:rsidP="008F24D1">
      <w:pPr>
        <w:spacing w:after="0" w:line="240" w:lineRule="auto"/>
        <w:rPr>
          <w:b/>
        </w:rPr>
      </w:pPr>
      <w:r w:rsidRPr="008F24D1">
        <w:rPr>
          <w:b/>
        </w:rPr>
        <w:t>DOWNLOAD THE FACTSHEETS:</w:t>
      </w:r>
    </w:p>
    <w:p w14:paraId="32D7C911" w14:textId="77777777" w:rsidR="008F24D1" w:rsidRPr="008F24D1" w:rsidRDefault="00E43D76" w:rsidP="008F24D1">
      <w:pPr>
        <w:pStyle w:val="ListParagraph"/>
        <w:numPr>
          <w:ilvl w:val="0"/>
          <w:numId w:val="10"/>
        </w:numPr>
        <w:spacing w:after="0" w:line="240" w:lineRule="auto"/>
        <w:rPr>
          <w:b/>
        </w:rPr>
      </w:pPr>
      <w:hyperlink r:id="rId18" w:history="1">
        <w:r w:rsidR="008F24D1" w:rsidRPr="008F24D1">
          <w:rPr>
            <w:rStyle w:val="Hyperlink"/>
            <w:b/>
          </w:rPr>
          <w:t>Know Your Rights as a Jobseeker Under the New ‘Ban the Box’ Law</w:t>
        </w:r>
      </w:hyperlink>
    </w:p>
    <w:p w14:paraId="1B496CF7" w14:textId="77777777" w:rsidR="008F24D1" w:rsidRPr="008F24D1" w:rsidRDefault="00E43D76" w:rsidP="008F24D1">
      <w:pPr>
        <w:pStyle w:val="ListParagraph"/>
        <w:numPr>
          <w:ilvl w:val="0"/>
          <w:numId w:val="10"/>
        </w:numPr>
        <w:spacing w:after="0" w:line="240" w:lineRule="auto"/>
        <w:rPr>
          <w:b/>
        </w:rPr>
      </w:pPr>
      <w:hyperlink r:id="rId19" w:history="1">
        <w:r w:rsidR="008F24D1" w:rsidRPr="008F24D1">
          <w:rPr>
            <w:rStyle w:val="Hyperlink"/>
            <w:b/>
          </w:rPr>
          <w:t>Employer Obligations Under the New Law Starting January 1</w:t>
        </w:r>
        <w:r w:rsidR="008F24D1" w:rsidRPr="008F24D1">
          <w:rPr>
            <w:rStyle w:val="Hyperlink"/>
            <w:b/>
            <w:vertAlign w:val="superscript"/>
          </w:rPr>
          <w:t>st</w:t>
        </w:r>
      </w:hyperlink>
      <w:r w:rsidR="008F24D1" w:rsidRPr="008F24D1">
        <w:rPr>
          <w:b/>
        </w:rPr>
        <w:t xml:space="preserve"> </w:t>
      </w:r>
    </w:p>
    <w:p w14:paraId="6461A3C1" w14:textId="77777777" w:rsidR="008F24D1" w:rsidRDefault="008F24D1" w:rsidP="009F65F4">
      <w:pPr>
        <w:spacing w:after="0" w:line="240" w:lineRule="auto"/>
      </w:pPr>
    </w:p>
    <w:p w14:paraId="3DFCF3F7" w14:textId="5E96DFE3" w:rsidR="009F65F4" w:rsidRPr="0032123D" w:rsidRDefault="00AD35E8" w:rsidP="005B01DE">
      <w:pPr>
        <w:keepNext/>
        <w:spacing w:after="0" w:line="240" w:lineRule="auto"/>
        <w:rPr>
          <w:b/>
          <w:u w:val="single"/>
        </w:rPr>
      </w:pPr>
      <w:r>
        <w:rPr>
          <w:b/>
          <w:u w:val="single"/>
        </w:rPr>
        <w:t xml:space="preserve">The </w:t>
      </w:r>
      <w:r w:rsidR="004075DA">
        <w:rPr>
          <w:b/>
          <w:u w:val="single"/>
        </w:rPr>
        <w:t xml:space="preserve">Basics </w:t>
      </w:r>
      <w:proofErr w:type="gramStart"/>
      <w:r w:rsidR="004075DA">
        <w:rPr>
          <w:b/>
          <w:u w:val="single"/>
        </w:rPr>
        <w:t>About</w:t>
      </w:r>
      <w:proofErr w:type="gramEnd"/>
      <w:r w:rsidR="004075DA">
        <w:rPr>
          <w:b/>
          <w:u w:val="single"/>
        </w:rPr>
        <w:t xml:space="preserve"> the </w:t>
      </w:r>
      <w:r>
        <w:rPr>
          <w:b/>
          <w:u w:val="single"/>
        </w:rPr>
        <w:t>New Law</w:t>
      </w:r>
    </w:p>
    <w:p w14:paraId="3C3B4339" w14:textId="609175C4" w:rsidR="004075DA" w:rsidRDefault="00262016" w:rsidP="00AD35E8">
      <w:pPr>
        <w:spacing w:after="0" w:line="240" w:lineRule="auto"/>
      </w:pPr>
      <w:r>
        <w:t>T</w:t>
      </w:r>
      <w:r w:rsidR="00D04BDC">
        <w:t>he Fair Chance Act</w:t>
      </w:r>
      <w:r w:rsidR="00AD35E8">
        <w:t xml:space="preserve"> requires most California employers to delay written and verbal inquiries about conviction history and </w:t>
      </w:r>
      <w:r w:rsidR="00C47D42">
        <w:t xml:space="preserve">delay </w:t>
      </w:r>
      <w:r w:rsidR="00AD35E8">
        <w:t xml:space="preserve">any conviction background check until after </w:t>
      </w:r>
      <w:r w:rsidR="00C47D42">
        <w:t xml:space="preserve">they have </w:t>
      </w:r>
      <w:r w:rsidR="00AD35E8">
        <w:t>select</w:t>
      </w:r>
      <w:r w:rsidR="00C47D42">
        <w:t>ed</w:t>
      </w:r>
      <w:r w:rsidR="00AD35E8">
        <w:t xml:space="preserve"> a candidate and offer</w:t>
      </w:r>
      <w:r w:rsidR="00C47D42">
        <w:t>ed</w:t>
      </w:r>
      <w:r w:rsidR="00AD35E8">
        <w:t xml:space="preserve"> him or her the job. </w:t>
      </w:r>
    </w:p>
    <w:p w14:paraId="669E95EA" w14:textId="6A6F1634" w:rsidR="00AD35E8" w:rsidRDefault="004075DA" w:rsidP="004075DA">
      <w:pPr>
        <w:pStyle w:val="ListParagraph"/>
        <w:numPr>
          <w:ilvl w:val="0"/>
          <w:numId w:val="8"/>
        </w:numPr>
        <w:spacing w:after="0" w:line="240" w:lineRule="auto"/>
      </w:pPr>
      <w:r w:rsidRPr="004075DA">
        <w:rPr>
          <w:u w:val="single"/>
        </w:rPr>
        <w:t>Terminology:</w:t>
      </w:r>
      <w:r>
        <w:t xml:space="preserve"> </w:t>
      </w:r>
      <w:r w:rsidR="00AD35E8">
        <w:t xml:space="preserve">The technical term for when </w:t>
      </w:r>
      <w:r>
        <w:t xml:space="preserve">an employer </w:t>
      </w:r>
      <w:r w:rsidR="00AD35E8">
        <w:t>can run a background check is after a “conditional offer” of employment, which means a job offer pending a background check.</w:t>
      </w:r>
    </w:p>
    <w:p w14:paraId="42B3C007" w14:textId="3523A4C1" w:rsidR="004075DA" w:rsidRDefault="004075DA" w:rsidP="004075DA">
      <w:pPr>
        <w:pStyle w:val="ListParagraph"/>
        <w:numPr>
          <w:ilvl w:val="0"/>
          <w:numId w:val="8"/>
        </w:numPr>
        <w:spacing w:after="0" w:line="240" w:lineRule="auto"/>
      </w:pPr>
      <w:r w:rsidRPr="004075DA">
        <w:rPr>
          <w:u w:val="single"/>
        </w:rPr>
        <w:t>Exceptions:</w:t>
      </w:r>
      <w:r>
        <w:t xml:space="preserve"> Employers with less than five employees (and law enforcement employers) are not required to comply with the new law. In addition, the Fair Chance Act does not require an </w:t>
      </w:r>
      <w:r>
        <w:lastRenderedPageBreak/>
        <w:t xml:space="preserve">employer to delay conviction inquiries when filling a </w:t>
      </w:r>
      <w:r w:rsidRPr="00352FDD">
        <w:t>position</w:t>
      </w:r>
      <w:r>
        <w:rPr>
          <w:i/>
        </w:rPr>
        <w:t xml:space="preserve"> </w:t>
      </w:r>
      <w:r>
        <w:t xml:space="preserve">for which the law </w:t>
      </w:r>
      <w:r w:rsidRPr="00352FDD">
        <w:rPr>
          <w:i/>
        </w:rPr>
        <w:t>requires</w:t>
      </w:r>
      <w:r>
        <w:t xml:space="preserve"> the employer to run a background check.</w:t>
      </w:r>
    </w:p>
    <w:p w14:paraId="1B8E0A86" w14:textId="34107228" w:rsidR="0032123D" w:rsidRDefault="0032123D" w:rsidP="00D00539">
      <w:pPr>
        <w:spacing w:after="0" w:line="240" w:lineRule="auto"/>
      </w:pPr>
    </w:p>
    <w:p w14:paraId="5E28508B" w14:textId="43760678" w:rsidR="00823EAB" w:rsidRPr="00EF6643" w:rsidRDefault="00823EAB" w:rsidP="00D04BDC">
      <w:pPr>
        <w:keepNext/>
        <w:spacing w:after="0" w:line="240" w:lineRule="auto"/>
        <w:rPr>
          <w:b/>
          <w:u w:val="single"/>
        </w:rPr>
      </w:pPr>
      <w:r w:rsidRPr="00EF6643">
        <w:rPr>
          <w:b/>
          <w:u w:val="single"/>
        </w:rPr>
        <w:t>The</w:t>
      </w:r>
      <w:r w:rsidR="00D04BDC">
        <w:rPr>
          <w:b/>
          <w:u w:val="single"/>
        </w:rPr>
        <w:t xml:space="preserve"> Background Check</w:t>
      </w:r>
      <w:r w:rsidRPr="00EF6643">
        <w:rPr>
          <w:b/>
          <w:u w:val="single"/>
        </w:rPr>
        <w:t xml:space="preserve"> </w:t>
      </w:r>
      <w:r w:rsidR="004F3BB3">
        <w:rPr>
          <w:b/>
          <w:u w:val="single"/>
        </w:rPr>
        <w:t>Process</w:t>
      </w:r>
    </w:p>
    <w:p w14:paraId="4E821D87" w14:textId="444518B5" w:rsidR="005F6A82" w:rsidRDefault="00D04BDC" w:rsidP="00D00539">
      <w:pPr>
        <w:spacing w:after="0" w:line="240" w:lineRule="auto"/>
      </w:pPr>
      <w:r>
        <w:t>After a conditional offer, the employer can ask about the applicant’s conviction history and run a conviction background check. In order to revoke the job offer, the employer must follow certain steps:</w:t>
      </w:r>
    </w:p>
    <w:p w14:paraId="64F8CD3F" w14:textId="7BF890DE" w:rsidR="00B943AB" w:rsidRDefault="00D04BDC" w:rsidP="00D00539">
      <w:pPr>
        <w:pStyle w:val="ListParagraph"/>
        <w:numPr>
          <w:ilvl w:val="0"/>
          <w:numId w:val="4"/>
        </w:numPr>
        <w:spacing w:after="0" w:line="240" w:lineRule="auto"/>
      </w:pPr>
      <w:r>
        <w:t>C</w:t>
      </w:r>
      <w:r w:rsidR="00EF6643">
        <w:t xml:space="preserve">onsider the nature </w:t>
      </w:r>
      <w:r w:rsidR="008D0642">
        <w:t xml:space="preserve">and age of </w:t>
      </w:r>
      <w:r w:rsidR="00EF6643">
        <w:t>any conviction</w:t>
      </w:r>
      <w:r w:rsidR="008D0642">
        <w:t xml:space="preserve"> and whether it’s dir</w:t>
      </w:r>
      <w:r>
        <w:t>ectly related to the job duties;</w:t>
      </w:r>
    </w:p>
    <w:p w14:paraId="1532EFBD" w14:textId="4E6235DB" w:rsidR="00B943AB" w:rsidRDefault="00D04BDC" w:rsidP="008D0642">
      <w:pPr>
        <w:pStyle w:val="ListParagraph"/>
        <w:numPr>
          <w:ilvl w:val="0"/>
          <w:numId w:val="4"/>
        </w:numPr>
        <w:spacing w:after="0" w:line="240" w:lineRule="auto"/>
      </w:pPr>
      <w:r>
        <w:t>N</w:t>
      </w:r>
      <w:r w:rsidR="00B943AB">
        <w:t xml:space="preserve">otify the applicant </w:t>
      </w:r>
      <w:r w:rsidR="0000358F">
        <w:t>in writing</w:t>
      </w:r>
      <w:r w:rsidR="005B01DE">
        <w:t xml:space="preserve"> of the employer’s intent to revoke the job offer (attaching </w:t>
      </w:r>
      <w:r w:rsidR="004F3BB3">
        <w:t xml:space="preserve">a copy of the </w:t>
      </w:r>
      <w:r w:rsidR="005B01DE">
        <w:t xml:space="preserve">conviction </w:t>
      </w:r>
      <w:r w:rsidR="004F3BB3">
        <w:t>background check report</w:t>
      </w:r>
      <w:r w:rsidR="005B01DE">
        <w:t>)</w:t>
      </w:r>
      <w:r w:rsidR="0000358F">
        <w:t xml:space="preserve"> </w:t>
      </w:r>
      <w:r w:rsidR="00B943AB">
        <w:t>and allow</w:t>
      </w:r>
      <w:r w:rsidR="0000358F">
        <w:t xml:space="preserve"> the </w:t>
      </w:r>
      <w:r w:rsidR="005B01DE">
        <w:t>applicant</w:t>
      </w:r>
      <w:r w:rsidR="0000358F">
        <w:t xml:space="preserve"> at least five </w:t>
      </w:r>
      <w:r w:rsidR="005B01DE">
        <w:t xml:space="preserve">business </w:t>
      </w:r>
      <w:r w:rsidR="0000358F">
        <w:t>days</w:t>
      </w:r>
      <w:r>
        <w:t xml:space="preserve"> to respond;</w:t>
      </w:r>
    </w:p>
    <w:p w14:paraId="537F1A91" w14:textId="35D93EBF" w:rsidR="00D04BDC" w:rsidRDefault="00D04BDC" w:rsidP="008D0642">
      <w:pPr>
        <w:pStyle w:val="ListParagraph"/>
        <w:numPr>
          <w:ilvl w:val="0"/>
          <w:numId w:val="4"/>
        </w:numPr>
        <w:spacing w:after="0" w:line="240" w:lineRule="auto"/>
      </w:pPr>
      <w:r>
        <w:t xml:space="preserve">Review any response from the applicant and again notify the applicant in writing if the employer ultimately decides not to hire </w:t>
      </w:r>
      <w:r w:rsidR="005B01DE">
        <w:t>him or her</w:t>
      </w:r>
      <w:r>
        <w:t>.</w:t>
      </w:r>
    </w:p>
    <w:p w14:paraId="21D7B3AC" w14:textId="0F010B4B" w:rsidR="00B943AB" w:rsidRDefault="00B943AB" w:rsidP="00D00539">
      <w:pPr>
        <w:spacing w:after="0" w:line="240" w:lineRule="auto"/>
        <w:rPr>
          <w:u w:val="single"/>
        </w:rPr>
      </w:pPr>
    </w:p>
    <w:p w14:paraId="45343DCE" w14:textId="44BF7189" w:rsidR="0032123D" w:rsidRPr="009F65F4" w:rsidRDefault="005B01DE" w:rsidP="005B01DE">
      <w:pPr>
        <w:keepNext/>
        <w:spacing w:after="0" w:line="240" w:lineRule="auto"/>
        <w:rPr>
          <w:b/>
          <w:u w:val="single"/>
        </w:rPr>
      </w:pPr>
      <w:r>
        <w:rPr>
          <w:b/>
          <w:u w:val="single"/>
        </w:rPr>
        <w:t>How to</w:t>
      </w:r>
      <w:r w:rsidR="0032123D" w:rsidRPr="009F65F4">
        <w:rPr>
          <w:b/>
          <w:u w:val="single"/>
        </w:rPr>
        <w:t xml:space="preserve"> Report Violations</w:t>
      </w:r>
    </w:p>
    <w:p w14:paraId="0033EF04" w14:textId="77777777" w:rsidR="0032123D" w:rsidRPr="002F2621" w:rsidRDefault="0032123D" w:rsidP="0032123D">
      <w:pPr>
        <w:spacing w:after="0" w:line="240" w:lineRule="auto"/>
      </w:pPr>
      <w:r>
        <w:t>Job applicants can file a complaint with the California Department of Fair Employment and Housing (DFEH) if they believe their Fair Chance Act rights were violated by an employer. DFEH will then investigate the complaint or the applicant may elect to file a lawsuit in court. The employer may be ordered to change its behavior and compensate the applicant for violating his or her rights. There are a few ways to file a complaint:</w:t>
      </w:r>
    </w:p>
    <w:p w14:paraId="6365247F" w14:textId="77777777" w:rsidR="0032123D" w:rsidRDefault="0032123D" w:rsidP="0032123D">
      <w:pPr>
        <w:pStyle w:val="ListParagraph"/>
        <w:numPr>
          <w:ilvl w:val="0"/>
          <w:numId w:val="6"/>
        </w:numPr>
        <w:spacing w:after="0" w:line="240" w:lineRule="auto"/>
        <w:contextualSpacing w:val="0"/>
      </w:pPr>
      <w:r>
        <w:t xml:space="preserve">File a complaint online at </w:t>
      </w:r>
      <w:hyperlink r:id="rId20" w:history="1">
        <w:r w:rsidRPr="00E2547A">
          <w:rPr>
            <w:rStyle w:val="Hyperlink"/>
            <w:rFonts w:cstheme="majorHAnsi"/>
          </w:rPr>
          <w:t>https://ccrs.dfeh.ca.gov</w:t>
        </w:r>
      </w:hyperlink>
      <w:r>
        <w:rPr>
          <w:rStyle w:val="Hyperlink"/>
          <w:rFonts w:asciiTheme="majorHAnsi" w:hAnsiTheme="majorHAnsi" w:cstheme="majorHAnsi"/>
        </w:rPr>
        <w:t xml:space="preserve"> </w:t>
      </w:r>
    </w:p>
    <w:p w14:paraId="3A36173F" w14:textId="77777777" w:rsidR="0032123D" w:rsidRDefault="0032123D" w:rsidP="0032123D">
      <w:pPr>
        <w:pStyle w:val="ListParagraph"/>
        <w:numPr>
          <w:ilvl w:val="0"/>
          <w:numId w:val="6"/>
        </w:numPr>
        <w:spacing w:after="0" w:line="240" w:lineRule="auto"/>
        <w:contextualSpacing w:val="0"/>
      </w:pPr>
      <w:r>
        <w:t xml:space="preserve">Download an </w:t>
      </w:r>
      <w:hyperlink r:id="rId21" w:history="1">
        <w:r w:rsidRPr="00884070">
          <w:rPr>
            <w:rStyle w:val="Hyperlink"/>
          </w:rPr>
          <w:t>intake form</w:t>
        </w:r>
      </w:hyperlink>
      <w:r>
        <w:t xml:space="preserve"> and either email it to </w:t>
      </w:r>
      <w:hyperlink r:id="rId22" w:history="1">
        <w:r w:rsidRPr="00E2547A">
          <w:rPr>
            <w:rStyle w:val="Hyperlink"/>
          </w:rPr>
          <w:t>contact.center@dfeh.ca.gov</w:t>
        </w:r>
      </w:hyperlink>
      <w:r>
        <w:t xml:space="preserve"> or mail it to 2218 </w:t>
      </w:r>
      <w:proofErr w:type="spellStart"/>
      <w:r>
        <w:t>Kausen</w:t>
      </w:r>
      <w:proofErr w:type="spellEnd"/>
      <w:r>
        <w:t xml:space="preserve"> Drive, Suite 100, Elk Grove, CA 95758 </w:t>
      </w:r>
    </w:p>
    <w:p w14:paraId="48269E75" w14:textId="77777777" w:rsidR="0032123D" w:rsidRDefault="0032123D" w:rsidP="0032123D">
      <w:pPr>
        <w:pStyle w:val="ListParagraph"/>
        <w:numPr>
          <w:ilvl w:val="0"/>
          <w:numId w:val="6"/>
        </w:numPr>
        <w:spacing w:after="0" w:line="240" w:lineRule="auto"/>
        <w:contextualSpacing w:val="0"/>
      </w:pPr>
      <w:r>
        <w:t xml:space="preserve">Visit a </w:t>
      </w:r>
      <w:hyperlink r:id="rId23" w:history="1">
        <w:r w:rsidRPr="00884070">
          <w:rPr>
            <w:rStyle w:val="Hyperlink"/>
          </w:rPr>
          <w:t>DFEH office</w:t>
        </w:r>
      </w:hyperlink>
    </w:p>
    <w:p w14:paraId="361B024E" w14:textId="00CB6492" w:rsidR="0032123D" w:rsidRPr="0032123D" w:rsidRDefault="0032123D" w:rsidP="00D00539">
      <w:pPr>
        <w:spacing w:after="0" w:line="240" w:lineRule="auto"/>
      </w:pPr>
      <w:r>
        <w:t xml:space="preserve">For more information, call DFEH at </w:t>
      </w:r>
      <w:r w:rsidRPr="004B6F30">
        <w:rPr>
          <w:rFonts w:cs="Helvetica"/>
          <w:shd w:val="clear" w:color="auto" w:fill="FFFFFF"/>
        </w:rPr>
        <w:t>800-884-1684</w:t>
      </w:r>
      <w:r>
        <w:rPr>
          <w:rFonts w:cs="Helvetica"/>
          <w:shd w:val="clear" w:color="auto" w:fill="FFFFFF"/>
        </w:rPr>
        <w:t>.</w:t>
      </w:r>
    </w:p>
    <w:p w14:paraId="427D1711" w14:textId="53EAACC9" w:rsidR="004E26E0" w:rsidRDefault="004E26E0" w:rsidP="00D00539">
      <w:pPr>
        <w:spacing w:after="0" w:line="240" w:lineRule="auto"/>
        <w:rPr>
          <w:u w:val="single"/>
        </w:rPr>
      </w:pPr>
    </w:p>
    <w:p w14:paraId="6CF36B0A" w14:textId="4B33072B" w:rsidR="004E26E0" w:rsidRPr="00F9300B" w:rsidRDefault="00B943AB" w:rsidP="004B29E2">
      <w:pPr>
        <w:keepNext/>
        <w:spacing w:after="0" w:line="240" w:lineRule="auto"/>
        <w:rPr>
          <w:b/>
          <w:u w:val="single"/>
        </w:rPr>
      </w:pPr>
      <w:r w:rsidRPr="00F9300B">
        <w:rPr>
          <w:b/>
          <w:u w:val="single"/>
        </w:rPr>
        <w:t xml:space="preserve">Other Laws </w:t>
      </w:r>
      <w:r w:rsidR="005B01DE">
        <w:rPr>
          <w:b/>
          <w:u w:val="single"/>
        </w:rPr>
        <w:t>Employers and Applicants</w:t>
      </w:r>
      <w:r w:rsidRPr="00F9300B">
        <w:rPr>
          <w:b/>
          <w:u w:val="single"/>
        </w:rPr>
        <w:t xml:space="preserve"> Should Know About</w:t>
      </w:r>
    </w:p>
    <w:p w14:paraId="1AB77EBA" w14:textId="4F472A51" w:rsidR="0032123D" w:rsidRPr="00B57E75" w:rsidRDefault="00E43D76" w:rsidP="0032123D">
      <w:pPr>
        <w:pStyle w:val="ListParagraph"/>
        <w:numPr>
          <w:ilvl w:val="0"/>
          <w:numId w:val="3"/>
        </w:numPr>
        <w:spacing w:after="0" w:line="240" w:lineRule="auto"/>
        <w:rPr>
          <w:u w:val="single"/>
        </w:rPr>
      </w:pPr>
      <w:hyperlink r:id="rId24" w:history="1">
        <w:r w:rsidR="0032123D" w:rsidRPr="000B49B4">
          <w:rPr>
            <w:rStyle w:val="Hyperlink"/>
          </w:rPr>
          <w:t xml:space="preserve">Federal </w:t>
        </w:r>
        <w:r w:rsidR="0032123D">
          <w:rPr>
            <w:rStyle w:val="Hyperlink"/>
          </w:rPr>
          <w:t xml:space="preserve">consumer </w:t>
        </w:r>
        <w:r w:rsidR="0032123D" w:rsidRPr="000B49B4">
          <w:rPr>
            <w:rStyle w:val="Hyperlink"/>
          </w:rPr>
          <w:t>law</w:t>
        </w:r>
      </w:hyperlink>
      <w:r w:rsidR="0032123D">
        <w:t xml:space="preserve"> requires employers to get the applicant’s written permission before running a conviction background check.</w:t>
      </w:r>
      <w:r w:rsidR="0032123D" w:rsidRPr="00B0405A">
        <w:t xml:space="preserve"> </w:t>
      </w:r>
      <w:r w:rsidR="0032123D">
        <w:t>(</w:t>
      </w:r>
      <w:hyperlink r:id="rId25" w:anchor="background checks ca" w:history="1">
        <w:r w:rsidR="0032123D" w:rsidRPr="00BB08E9">
          <w:rPr>
            <w:rStyle w:val="Hyperlink"/>
          </w:rPr>
          <w:t>California law</w:t>
        </w:r>
      </w:hyperlink>
      <w:r w:rsidR="0032123D">
        <w:t xml:space="preserve"> requires this, too.)</w:t>
      </w:r>
    </w:p>
    <w:p w14:paraId="68650762" w14:textId="5BE2F1D5" w:rsidR="0000358F" w:rsidRPr="000B49B4" w:rsidRDefault="00E43D76" w:rsidP="0000358F">
      <w:pPr>
        <w:pStyle w:val="ListParagraph"/>
        <w:numPr>
          <w:ilvl w:val="0"/>
          <w:numId w:val="3"/>
        </w:numPr>
        <w:spacing w:after="0" w:line="240" w:lineRule="auto"/>
        <w:rPr>
          <w:u w:val="single"/>
        </w:rPr>
      </w:pPr>
      <w:hyperlink r:id="rId26" w:history="1">
        <w:r w:rsidR="0000358F" w:rsidRPr="00F9300B">
          <w:rPr>
            <w:rStyle w:val="Hyperlink"/>
          </w:rPr>
          <w:t>California law</w:t>
        </w:r>
      </w:hyperlink>
      <w:r w:rsidR="0000358F">
        <w:t xml:space="preserve"> prohibits </w:t>
      </w:r>
      <w:r w:rsidR="000B49B4">
        <w:t>employers from considering arrests</w:t>
      </w:r>
      <w:r w:rsidR="00F9300B">
        <w:t xml:space="preserve"> (except pending charges), juvenile court records, participation in diversion programs, and expunged (“judicially dismissed”) convictions</w:t>
      </w:r>
      <w:r w:rsidR="000B49B4">
        <w:t xml:space="preserve"> at any time</w:t>
      </w:r>
      <w:r w:rsidR="00F9300B">
        <w:t xml:space="preserve"> during the hiring process</w:t>
      </w:r>
      <w:r w:rsidR="000B49B4">
        <w:t>.</w:t>
      </w:r>
    </w:p>
    <w:p w14:paraId="7A4A39F6" w14:textId="4C806777" w:rsidR="004F3BB3" w:rsidRPr="009F1D31" w:rsidRDefault="000B49B4" w:rsidP="0000358F">
      <w:pPr>
        <w:pStyle w:val="ListParagraph"/>
        <w:numPr>
          <w:ilvl w:val="0"/>
          <w:numId w:val="3"/>
        </w:numPr>
        <w:spacing w:after="0" w:line="240" w:lineRule="auto"/>
        <w:rPr>
          <w:u w:val="single"/>
        </w:rPr>
      </w:pPr>
      <w:r>
        <w:t xml:space="preserve">State and </w:t>
      </w:r>
      <w:hyperlink r:id="rId27" w:history="1">
        <w:r w:rsidRPr="00F9300B">
          <w:rPr>
            <w:rStyle w:val="Hyperlink"/>
          </w:rPr>
          <w:t>federal civil rights laws</w:t>
        </w:r>
      </w:hyperlink>
      <w:r>
        <w:t xml:space="preserve"> (and </w:t>
      </w:r>
      <w:r w:rsidR="00F9300B">
        <w:t xml:space="preserve">California </w:t>
      </w:r>
      <w:hyperlink r:id="rId28" w:history="1">
        <w:r w:rsidRPr="000B49B4">
          <w:rPr>
            <w:rStyle w:val="Hyperlink"/>
          </w:rPr>
          <w:t>regulations</w:t>
        </w:r>
      </w:hyperlink>
      <w:r w:rsidR="00F9300B">
        <w:t>)</w:t>
      </w:r>
      <w:r>
        <w:t xml:space="preserve"> also </w:t>
      </w:r>
      <w:r w:rsidR="004F3BB3">
        <w:t xml:space="preserve">prohibit </w:t>
      </w:r>
      <w:r w:rsidR="00F9300B">
        <w:t xml:space="preserve">employers from using </w:t>
      </w:r>
      <w:r w:rsidR="004F3BB3">
        <w:t xml:space="preserve">conviction record screens </w:t>
      </w:r>
      <w:r w:rsidR="00F9300B">
        <w:t>in a way that</w:t>
      </w:r>
      <w:r w:rsidR="00792586">
        <w:t xml:space="preserve"> disproportionately affect</w:t>
      </w:r>
      <w:r w:rsidR="00F9300B">
        <w:t>s</w:t>
      </w:r>
      <w:r w:rsidR="00792586">
        <w:t xml:space="preserve"> people of color and</w:t>
      </w:r>
      <w:r w:rsidR="004F3BB3">
        <w:t xml:space="preserve"> </w:t>
      </w:r>
      <w:r w:rsidR="00F9300B">
        <w:t>isn’t</w:t>
      </w:r>
      <w:r w:rsidR="00792586">
        <w:t xml:space="preserve"> justified by “business necessity.”</w:t>
      </w:r>
      <w:r w:rsidR="00F9300B">
        <w:t xml:space="preserve"> An employer </w:t>
      </w:r>
      <w:r w:rsidR="00C90F8E">
        <w:t xml:space="preserve">can </w:t>
      </w:r>
      <w:r w:rsidR="00F9300B">
        <w:t>satisfy</w:t>
      </w:r>
      <w:r w:rsidR="00C90F8E">
        <w:t xml:space="preserve"> that standard by showing that </w:t>
      </w:r>
      <w:r w:rsidR="00F9300B">
        <w:t>its exclusion policy was tailored</w:t>
      </w:r>
      <w:r w:rsidR="00C90F8E">
        <w:t xml:space="preserve"> and </w:t>
      </w:r>
      <w:r w:rsidR="00F9300B">
        <w:t xml:space="preserve">it conducted an “individual assessment” by considering </w:t>
      </w:r>
      <w:r w:rsidR="00C90F8E">
        <w:t>at least the age and nature of the conviction and the na</w:t>
      </w:r>
      <w:r w:rsidR="009F1D31">
        <w:t>ture of the job.</w:t>
      </w:r>
    </w:p>
    <w:p w14:paraId="750E199E" w14:textId="7538FF03" w:rsidR="009F1D31" w:rsidRPr="004F3BB3" w:rsidRDefault="00E43D76" w:rsidP="0000358F">
      <w:pPr>
        <w:pStyle w:val="ListParagraph"/>
        <w:numPr>
          <w:ilvl w:val="0"/>
          <w:numId w:val="3"/>
        </w:numPr>
        <w:spacing w:after="0" w:line="240" w:lineRule="auto"/>
        <w:rPr>
          <w:u w:val="single"/>
        </w:rPr>
      </w:pPr>
      <w:hyperlink r:id="rId29" w:history="1">
        <w:r w:rsidR="009F1D31" w:rsidRPr="00B57E75">
          <w:rPr>
            <w:rStyle w:val="Hyperlink"/>
          </w:rPr>
          <w:t>San Francisco</w:t>
        </w:r>
      </w:hyperlink>
      <w:r w:rsidR="009F1D31">
        <w:t xml:space="preserve"> and </w:t>
      </w:r>
      <w:hyperlink r:id="rId30" w:history="1">
        <w:r w:rsidR="009F1D31" w:rsidRPr="00E244EB">
          <w:rPr>
            <w:rStyle w:val="Hyperlink"/>
          </w:rPr>
          <w:t>Los Angeles</w:t>
        </w:r>
      </w:hyperlink>
      <w:r w:rsidR="009F1D31">
        <w:t xml:space="preserve"> have local ban-the-box laws that supplement the new state law.</w:t>
      </w:r>
      <w:r w:rsidR="00C47D42">
        <w:rPr>
          <w:rStyle w:val="FootnoteReference"/>
        </w:rPr>
        <w:footnoteReference w:id="1"/>
      </w:r>
    </w:p>
    <w:p w14:paraId="18B3306E" w14:textId="3556FC88" w:rsidR="004B29E2" w:rsidRDefault="004B29E2" w:rsidP="00D00539">
      <w:pPr>
        <w:spacing w:after="0" w:line="240" w:lineRule="auto"/>
      </w:pPr>
    </w:p>
    <w:p w14:paraId="0660FEBB" w14:textId="3C38BBA1" w:rsidR="003411D9" w:rsidRDefault="003411D9" w:rsidP="003411D9">
      <w:pPr>
        <w:spacing w:after="0" w:line="240" w:lineRule="auto"/>
      </w:pPr>
      <w:r>
        <w:t xml:space="preserve">Other large and small employers have voluntarily banned the box, including Oakland-based </w:t>
      </w:r>
      <w:hyperlink r:id="rId31" w:history="1">
        <w:r w:rsidRPr="008D491B">
          <w:rPr>
            <w:rStyle w:val="Hyperlink"/>
          </w:rPr>
          <w:t>Give Something Back Workplace Solutions</w:t>
        </w:r>
      </w:hyperlink>
      <w:r>
        <w:t>. “We’ve hired many people with conviction records over the years, but our clients and employees remain safe, our hiring process is still efficient, and our business continues to be profitable,” says the company’s president Mike Hannigan.</w:t>
      </w:r>
    </w:p>
    <w:p w14:paraId="54ACDB2C" w14:textId="242CCDF7" w:rsidR="003411D9" w:rsidRDefault="003411D9" w:rsidP="00D00539">
      <w:pPr>
        <w:spacing w:after="0" w:line="240" w:lineRule="auto"/>
      </w:pPr>
    </w:p>
    <w:p w14:paraId="2237C647" w14:textId="08265D91" w:rsidR="004B29E2" w:rsidRDefault="00B14CCB" w:rsidP="00D00539">
      <w:pPr>
        <w:spacing w:after="0" w:line="240" w:lineRule="auto"/>
      </w:pPr>
      <w:r>
        <w:lastRenderedPageBreak/>
        <w:t>Fair</w:t>
      </w:r>
      <w:r w:rsidR="00AF3DF0">
        <w:t xml:space="preserve"> </w:t>
      </w:r>
      <w:r>
        <w:t xml:space="preserve">chance reforms allow people with records to get </w:t>
      </w:r>
      <w:r w:rsidR="00AF3DF0">
        <w:t>a</w:t>
      </w:r>
      <w:r>
        <w:t xml:space="preserve"> foot in the door and have been shown to increase the number of people with records interviewed and hired.</w:t>
      </w:r>
      <w:r w:rsidR="008D0642">
        <w:t xml:space="preserve"> And</w:t>
      </w:r>
      <w:r>
        <w:t xml:space="preserve"> </w:t>
      </w:r>
      <w:hyperlink r:id="rId32" w:history="1">
        <w:r w:rsidR="008D0642">
          <w:rPr>
            <w:rStyle w:val="Hyperlink"/>
          </w:rPr>
          <w:t>r</w:t>
        </w:r>
        <w:r w:rsidR="004B29E2" w:rsidRPr="00B14CCB">
          <w:rPr>
            <w:rStyle w:val="Hyperlink"/>
          </w:rPr>
          <w:t>esearch demonstrates</w:t>
        </w:r>
      </w:hyperlink>
      <w:r w:rsidR="004B29E2">
        <w:t xml:space="preserve"> </w:t>
      </w:r>
      <w:r w:rsidR="004B29E2" w:rsidRPr="008D0642">
        <w:t xml:space="preserve">that </w:t>
      </w:r>
      <w:r w:rsidR="008D0642" w:rsidRPr="008D0642">
        <w:t>employing people with records</w:t>
      </w:r>
      <w:r w:rsidR="001C6CE5" w:rsidRPr="008D0642">
        <w:t xml:space="preserve"> benefits </w:t>
      </w:r>
      <w:r w:rsidR="008D0642" w:rsidRPr="008D0642">
        <w:t xml:space="preserve">us all by </w:t>
      </w:r>
      <w:r w:rsidR="004B29E2" w:rsidRPr="008D0642">
        <w:t>improv</w:t>
      </w:r>
      <w:r w:rsidR="008D0642" w:rsidRPr="008D0642">
        <w:t>ing</w:t>
      </w:r>
      <w:r w:rsidR="004B29E2" w:rsidRPr="008D0642">
        <w:t xml:space="preserve"> the economy and </w:t>
      </w:r>
      <w:r w:rsidR="001C6CE5" w:rsidRPr="008D0642">
        <w:t>decreas</w:t>
      </w:r>
      <w:r w:rsidR="008D0642" w:rsidRPr="008D0642">
        <w:t>ing</w:t>
      </w:r>
      <w:r w:rsidR="004B29E2" w:rsidRPr="008D0642">
        <w:t xml:space="preserve"> recidivism.</w:t>
      </w:r>
    </w:p>
    <w:p w14:paraId="32202F73" w14:textId="1A563055" w:rsidR="004B29E2" w:rsidRDefault="004B29E2" w:rsidP="00D00539">
      <w:pPr>
        <w:spacing w:after="0" w:line="240" w:lineRule="auto"/>
      </w:pPr>
    </w:p>
    <w:p w14:paraId="2A0492D9" w14:textId="13EDFBAC" w:rsidR="00D62E40" w:rsidRDefault="002804D6" w:rsidP="00D00539">
      <w:pPr>
        <w:spacing w:after="0" w:line="240" w:lineRule="auto"/>
      </w:pPr>
      <w:r>
        <w:t xml:space="preserve">“The new law means a fair chance at employment and the </w:t>
      </w:r>
      <w:r w:rsidR="007C02A3">
        <w:t>opportunity to become a productive member of society</w:t>
      </w:r>
      <w:r>
        <w:t xml:space="preserve">,” says </w:t>
      </w:r>
      <w:r w:rsidRPr="008F24D1">
        <w:rPr>
          <w:b/>
        </w:rPr>
        <w:t>Kim Carter, executive director of Time for Change Foundation</w:t>
      </w:r>
      <w:r>
        <w:t xml:space="preserve">. </w:t>
      </w:r>
      <w:r w:rsidR="00D62E40">
        <w:t>“I’ve see</w:t>
      </w:r>
      <w:r w:rsidR="00791B89">
        <w:t xml:space="preserve">n </w:t>
      </w:r>
      <w:r w:rsidR="00D62E40">
        <w:t xml:space="preserve">the </w:t>
      </w:r>
      <w:r w:rsidR="00791B89">
        <w:t>devastation that often follows when people are denied employment because of a past conviction: extreme poverty, homelessness, and the inability to provide for their children. It’s demoralizing.”</w:t>
      </w:r>
    </w:p>
    <w:p w14:paraId="1DC2EC94" w14:textId="59FAB092" w:rsidR="00D538B8" w:rsidRDefault="00D538B8" w:rsidP="00D00539">
      <w:pPr>
        <w:spacing w:after="0" w:line="240" w:lineRule="auto"/>
      </w:pPr>
    </w:p>
    <w:p w14:paraId="0154C3D5" w14:textId="0A96A955" w:rsidR="00D538B8" w:rsidRPr="00D538B8" w:rsidRDefault="00D538B8" w:rsidP="00D538B8">
      <w:pPr>
        <w:spacing w:after="0" w:line="240" w:lineRule="auto"/>
        <w:rPr>
          <w:rFonts w:ascii="Calibri" w:hAnsi="Calibri" w:cs="Calibri"/>
        </w:rPr>
      </w:pPr>
      <w:r w:rsidRPr="00D538B8">
        <w:rPr>
          <w:rFonts w:ascii="Calibri" w:hAnsi="Calibri" w:cs="Calibri"/>
        </w:rPr>
        <w:t xml:space="preserve">“AB 1008 gives us a chance to be considered for a job,” says </w:t>
      </w:r>
      <w:r w:rsidRPr="008F24D1">
        <w:rPr>
          <w:rFonts w:ascii="Calibri" w:hAnsi="Calibri" w:cs="Calibri"/>
          <w:b/>
        </w:rPr>
        <w:t>Sandra Johnson, a member of All of Us or None</w:t>
      </w:r>
      <w:r w:rsidR="007C02A3" w:rsidRPr="008F24D1">
        <w:rPr>
          <w:rFonts w:ascii="Calibri" w:hAnsi="Calibri" w:cs="Calibri"/>
          <w:b/>
        </w:rPr>
        <w:t xml:space="preserve"> and a policy fellow with Legal Services for Prisoners with Children</w:t>
      </w:r>
      <w:r w:rsidRPr="00D538B8">
        <w:rPr>
          <w:rFonts w:ascii="Calibri" w:hAnsi="Calibri" w:cs="Calibri"/>
        </w:rPr>
        <w:t>. “It ensures that a past conviction isn’t the first (and often only) thing an employer sees. I am a person. I am a human being. Like all formerly incarcerated people, I deserve a chance to make a living, to support myself and my family, to be a contributing member of my community and an asset to society.”</w:t>
      </w:r>
    </w:p>
    <w:p w14:paraId="7E9A7BD8" w14:textId="77777777" w:rsidR="00D62E40" w:rsidRDefault="00D62E40" w:rsidP="00D00539">
      <w:pPr>
        <w:spacing w:after="0" w:line="240" w:lineRule="auto"/>
      </w:pPr>
    </w:p>
    <w:p w14:paraId="4B936DC0" w14:textId="652D1951" w:rsidR="00FB6D2C" w:rsidRPr="00FB6D2C" w:rsidRDefault="00FB6D2C" w:rsidP="00FB6D2C">
      <w:pPr>
        <w:spacing w:after="0" w:line="240" w:lineRule="auto"/>
      </w:pPr>
      <w:r>
        <w:t>“Around</w:t>
      </w:r>
      <w:r w:rsidRPr="00FB6D2C">
        <w:t xml:space="preserve"> the country, </w:t>
      </w:r>
      <w:r w:rsidR="005B18CB">
        <w:t xml:space="preserve">policymakers and the </w:t>
      </w:r>
      <w:r>
        <w:t xml:space="preserve">public </w:t>
      </w:r>
      <w:r w:rsidRPr="00FB6D2C">
        <w:t>are realizing the need to address the</w:t>
      </w:r>
      <w:r>
        <w:t> effects of mass incarceration,”</w:t>
      </w:r>
      <w:r w:rsidRPr="00FB6D2C">
        <w:t xml:space="preserve"> says </w:t>
      </w:r>
      <w:r w:rsidRPr="00FB6D2C">
        <w:rPr>
          <w:b/>
        </w:rPr>
        <w:t>Beth Avery, staff attorney with the National Employment Law Project</w:t>
      </w:r>
      <w:r w:rsidRPr="00FB6D2C">
        <w:t>. </w:t>
      </w:r>
      <w:r>
        <w:t>“</w:t>
      </w:r>
      <w:r w:rsidRPr="00FB6D2C">
        <w:t>Thanks to grassroots organizing by directly impacted people and support from dedicated advocates, 30 states and over 150 cities and counties have banned the box in some form. And nearly one</w:t>
      </w:r>
      <w:r w:rsidR="005B18CB">
        <w:t xml:space="preserve"> </w:t>
      </w:r>
      <w:r w:rsidRPr="00FB6D2C">
        <w:t>in</w:t>
      </w:r>
      <w:r w:rsidR="005B18CB">
        <w:t xml:space="preserve"> </w:t>
      </w:r>
      <w:r w:rsidRPr="00FB6D2C">
        <w:t>three U.S. residents now live in a state or locality that extends its fair chance law to private-sector employment."​</w:t>
      </w:r>
      <w:bookmarkStart w:id="0" w:name="_GoBack"/>
      <w:bookmarkEnd w:id="0"/>
    </w:p>
    <w:p w14:paraId="159E482D" w14:textId="77777777" w:rsidR="008F24D1" w:rsidRDefault="008F24D1" w:rsidP="00D00539">
      <w:pPr>
        <w:spacing w:after="0" w:line="240" w:lineRule="auto"/>
      </w:pPr>
    </w:p>
    <w:p w14:paraId="37AE2674" w14:textId="18755B14" w:rsidR="00AF3DF0" w:rsidRDefault="00AF3DF0" w:rsidP="00D00539">
      <w:pPr>
        <w:spacing w:after="0" w:line="240" w:lineRule="auto"/>
      </w:pPr>
      <w:r>
        <w:t>AB 1008 was c</w:t>
      </w:r>
      <w:r w:rsidR="00752543">
        <w:t>o-sponsored by</w:t>
      </w:r>
      <w:r>
        <w:t xml:space="preserve"> </w:t>
      </w:r>
      <w:r w:rsidR="008D0642">
        <w:t xml:space="preserve">the </w:t>
      </w:r>
      <w:hyperlink r:id="rId33" w:history="1">
        <w:r w:rsidR="008D0642" w:rsidRPr="00EF7ED8">
          <w:rPr>
            <w:rStyle w:val="Hyperlink"/>
          </w:rPr>
          <w:t>National Employment Law Project</w:t>
        </w:r>
      </w:hyperlink>
      <w:r w:rsidR="008D0642">
        <w:t xml:space="preserve">, </w:t>
      </w:r>
      <w:hyperlink r:id="rId34" w:history="1">
        <w:r w:rsidR="003411D9" w:rsidRPr="00EF7ED8">
          <w:rPr>
            <w:rStyle w:val="Hyperlink"/>
          </w:rPr>
          <w:t>Legal Services for Prisoners with Children</w:t>
        </w:r>
      </w:hyperlink>
      <w:r w:rsidR="003411D9">
        <w:t xml:space="preserve">, </w:t>
      </w:r>
      <w:hyperlink r:id="rId35" w:history="1">
        <w:r w:rsidR="00752543" w:rsidRPr="00EF7ED8">
          <w:rPr>
            <w:rStyle w:val="Hyperlink"/>
          </w:rPr>
          <w:t>All of Us o</w:t>
        </w:r>
        <w:r w:rsidR="009E57D2">
          <w:rPr>
            <w:rStyle w:val="Hyperlink"/>
          </w:rPr>
          <w:t>r</w:t>
        </w:r>
        <w:r w:rsidR="00752543" w:rsidRPr="00EF7ED8">
          <w:rPr>
            <w:rStyle w:val="Hyperlink"/>
          </w:rPr>
          <w:t xml:space="preserve"> None</w:t>
        </w:r>
      </w:hyperlink>
      <w:r w:rsidR="00752543">
        <w:t xml:space="preserve">, and </w:t>
      </w:r>
      <w:hyperlink r:id="rId36" w:history="1">
        <w:r w:rsidR="00752543" w:rsidRPr="00EF7ED8">
          <w:rPr>
            <w:rStyle w:val="Hyperlink"/>
          </w:rPr>
          <w:t>Time for Change Foundation</w:t>
        </w:r>
      </w:hyperlink>
      <w:r>
        <w:t>.</w:t>
      </w:r>
      <w:r w:rsidR="00F916BF">
        <w:t xml:space="preserve"> </w:t>
      </w:r>
      <w:r w:rsidR="00823EAB">
        <w:t>The bill</w:t>
      </w:r>
      <w:r w:rsidR="008D0642">
        <w:t>’s primary co-author was</w:t>
      </w:r>
      <w:r w:rsidR="00823EAB">
        <w:t xml:space="preserve"> </w:t>
      </w:r>
      <w:proofErr w:type="spellStart"/>
      <w:r w:rsidR="00823EAB">
        <w:t>Assemblymember</w:t>
      </w:r>
      <w:proofErr w:type="spellEnd"/>
      <w:r w:rsidR="00823EAB">
        <w:t xml:space="preserve"> Kevin McCarty (D-Sacramento)</w:t>
      </w:r>
      <w:r w:rsidR="00823EAB">
        <w:rPr>
          <w:rFonts w:ascii="Helvetica" w:hAnsi="Helvetica"/>
          <w:sz w:val="21"/>
          <w:szCs w:val="21"/>
          <w:shd w:val="clear" w:color="auto" w:fill="FFFFFF"/>
        </w:rPr>
        <w:t>.</w:t>
      </w:r>
    </w:p>
    <w:p w14:paraId="12303C99" w14:textId="4CAC545D" w:rsidR="00AF3DF0" w:rsidRDefault="00AF3DF0" w:rsidP="00D00539">
      <w:pPr>
        <w:spacing w:after="0" w:line="240" w:lineRule="auto"/>
      </w:pPr>
    </w:p>
    <w:p w14:paraId="5C460D3F" w14:textId="77777777" w:rsidR="008F24D1" w:rsidRPr="008F24D1" w:rsidRDefault="008F24D1" w:rsidP="008F24D1">
      <w:pPr>
        <w:spacing w:after="0" w:line="240" w:lineRule="auto"/>
        <w:rPr>
          <w:b/>
        </w:rPr>
      </w:pPr>
      <w:r w:rsidRPr="008F24D1">
        <w:rPr>
          <w:b/>
        </w:rPr>
        <w:t>DOWNLOAD THE FACTSHEETS:</w:t>
      </w:r>
    </w:p>
    <w:p w14:paraId="067700CF" w14:textId="77777777" w:rsidR="008F24D1" w:rsidRPr="008F24D1" w:rsidRDefault="00E43D76" w:rsidP="008F24D1">
      <w:pPr>
        <w:pStyle w:val="ListParagraph"/>
        <w:numPr>
          <w:ilvl w:val="0"/>
          <w:numId w:val="10"/>
        </w:numPr>
        <w:spacing w:after="0" w:line="240" w:lineRule="auto"/>
        <w:rPr>
          <w:b/>
        </w:rPr>
      </w:pPr>
      <w:hyperlink r:id="rId37" w:history="1">
        <w:r w:rsidR="008F24D1" w:rsidRPr="008F24D1">
          <w:rPr>
            <w:rStyle w:val="Hyperlink"/>
            <w:b/>
          </w:rPr>
          <w:t>Know Your Rights as a Jobseeker Under the New ‘Ban the Box’ Law</w:t>
        </w:r>
      </w:hyperlink>
    </w:p>
    <w:p w14:paraId="1E66AD4A" w14:textId="77777777" w:rsidR="008F24D1" w:rsidRPr="008F24D1" w:rsidRDefault="00E43D76" w:rsidP="008F24D1">
      <w:pPr>
        <w:pStyle w:val="ListParagraph"/>
        <w:numPr>
          <w:ilvl w:val="0"/>
          <w:numId w:val="10"/>
        </w:numPr>
        <w:spacing w:after="0" w:line="240" w:lineRule="auto"/>
        <w:rPr>
          <w:b/>
        </w:rPr>
      </w:pPr>
      <w:hyperlink r:id="rId38" w:history="1">
        <w:r w:rsidR="008F24D1" w:rsidRPr="008F24D1">
          <w:rPr>
            <w:rStyle w:val="Hyperlink"/>
            <w:b/>
          </w:rPr>
          <w:t>Employer Obligations Under the New Law Starting January 1</w:t>
        </w:r>
        <w:r w:rsidR="008F24D1" w:rsidRPr="008F24D1">
          <w:rPr>
            <w:rStyle w:val="Hyperlink"/>
            <w:b/>
            <w:vertAlign w:val="superscript"/>
          </w:rPr>
          <w:t>st</w:t>
        </w:r>
      </w:hyperlink>
      <w:r w:rsidR="008F24D1" w:rsidRPr="008F24D1">
        <w:rPr>
          <w:b/>
        </w:rPr>
        <w:t xml:space="preserve"> </w:t>
      </w:r>
    </w:p>
    <w:p w14:paraId="50FEDBE0" w14:textId="77777777" w:rsidR="008F24D1" w:rsidRDefault="008F24D1" w:rsidP="00D00539">
      <w:pPr>
        <w:spacing w:after="0" w:line="240" w:lineRule="auto"/>
      </w:pPr>
    </w:p>
    <w:p w14:paraId="4FA0D3DC" w14:textId="77777777" w:rsidR="00F916BF" w:rsidRDefault="00F916BF" w:rsidP="00F916BF">
      <w:pPr>
        <w:spacing w:after="0" w:line="240" w:lineRule="auto"/>
        <w:jc w:val="center"/>
        <w:rPr>
          <w:rFonts w:cstheme="minorHAnsi"/>
        </w:rPr>
      </w:pPr>
      <w:r>
        <w:rPr>
          <w:rFonts w:cstheme="minorHAnsi"/>
        </w:rPr>
        <w:t>###</w:t>
      </w:r>
    </w:p>
    <w:p w14:paraId="67EC8D4A" w14:textId="77777777" w:rsidR="00F916BF" w:rsidRDefault="00F916BF" w:rsidP="00F916BF">
      <w:pPr>
        <w:spacing w:after="0" w:line="240" w:lineRule="auto"/>
        <w:jc w:val="center"/>
        <w:rPr>
          <w:rFonts w:cstheme="minorHAnsi"/>
        </w:rPr>
      </w:pPr>
    </w:p>
    <w:p w14:paraId="78F53F13" w14:textId="4FCDBE21" w:rsidR="00F916BF" w:rsidRDefault="00F916BF" w:rsidP="00F916BF">
      <w:pPr>
        <w:spacing w:after="0" w:line="240" w:lineRule="auto"/>
        <w:rPr>
          <w:rFonts w:cstheme="minorHAnsi"/>
          <w:i/>
          <w:iCs/>
        </w:rPr>
      </w:pPr>
      <w:r w:rsidRPr="00561D6B">
        <w:rPr>
          <w:rFonts w:cstheme="minorHAnsi"/>
          <w:i/>
          <w:iCs/>
        </w:rPr>
        <w:t>The National Employment Law Project</w:t>
      </w:r>
      <w:r w:rsidR="00A233F3">
        <w:rPr>
          <w:rFonts w:cstheme="minorHAnsi"/>
          <w:i/>
          <w:iCs/>
        </w:rPr>
        <w:t xml:space="preserve"> (NELP)</w:t>
      </w:r>
      <w:r w:rsidRPr="00561D6B">
        <w:rPr>
          <w:rFonts w:cstheme="minorHAnsi"/>
          <w:i/>
          <w:iCs/>
        </w:rPr>
        <w:t xml:space="preserve"> is a non-partisan, not-for-profit organization that conducts research and advocates on issues affecting low-wage and unemployed workers. For more about NELP, visit </w:t>
      </w:r>
      <w:hyperlink r:id="rId39" w:history="1">
        <w:r w:rsidRPr="00561D6B">
          <w:rPr>
            <w:rStyle w:val="Hyperlink"/>
            <w:rFonts w:cstheme="minorHAnsi"/>
            <w:i/>
            <w:iCs/>
          </w:rPr>
          <w:t>www.nelp.org</w:t>
        </w:r>
      </w:hyperlink>
      <w:r w:rsidRPr="00561D6B">
        <w:rPr>
          <w:rFonts w:cstheme="minorHAnsi"/>
          <w:i/>
          <w:iCs/>
        </w:rPr>
        <w:t>.</w:t>
      </w:r>
    </w:p>
    <w:p w14:paraId="7702BDF2" w14:textId="77777777" w:rsidR="00F916BF" w:rsidRPr="00B34487" w:rsidRDefault="00F916BF" w:rsidP="00F916BF">
      <w:pPr>
        <w:spacing w:after="0" w:line="240" w:lineRule="auto"/>
        <w:rPr>
          <w:rFonts w:ascii="Calibri" w:hAnsi="Calibri" w:cs="Calibri"/>
        </w:rPr>
      </w:pPr>
    </w:p>
    <w:p w14:paraId="3F3DDBA9" w14:textId="77777777" w:rsidR="00F916BF" w:rsidRDefault="00F916BF" w:rsidP="00F916BF">
      <w:pPr>
        <w:spacing w:after="0" w:line="240" w:lineRule="auto"/>
        <w:rPr>
          <w:i/>
        </w:rPr>
      </w:pPr>
      <w:r w:rsidRPr="00CC4979">
        <w:rPr>
          <w:i/>
        </w:rPr>
        <w:t>Legal Services for Prisoners with Children (LSPC) organizes communities impacted by the criminal justice system and advocates to release incarcerated people, to restore human and civil rights, and to reunify families and communities.</w:t>
      </w:r>
      <w:r>
        <w:rPr>
          <w:i/>
        </w:rPr>
        <w:t xml:space="preserve"> Visit </w:t>
      </w:r>
      <w:hyperlink r:id="rId40" w:history="1">
        <w:r>
          <w:rPr>
            <w:rStyle w:val="Hyperlink"/>
            <w:i/>
          </w:rPr>
          <w:t>www.prisonerswithchildren.org</w:t>
        </w:r>
      </w:hyperlink>
      <w:r>
        <w:rPr>
          <w:i/>
        </w:rPr>
        <w:t xml:space="preserve"> for more information.</w:t>
      </w:r>
    </w:p>
    <w:p w14:paraId="4320A7DA" w14:textId="77777777" w:rsidR="00F916BF" w:rsidRPr="00CC4979" w:rsidRDefault="00F916BF" w:rsidP="00F916BF">
      <w:pPr>
        <w:spacing w:after="0" w:line="240" w:lineRule="auto"/>
        <w:rPr>
          <w:i/>
        </w:rPr>
      </w:pPr>
    </w:p>
    <w:p w14:paraId="56D43EA5" w14:textId="6FFD8758" w:rsidR="00F916BF" w:rsidRPr="00CC4979" w:rsidRDefault="00F916BF" w:rsidP="00F916BF">
      <w:pPr>
        <w:spacing w:after="0" w:line="240" w:lineRule="auto"/>
        <w:rPr>
          <w:i/>
        </w:rPr>
      </w:pPr>
      <w:r w:rsidRPr="00CC4979">
        <w:rPr>
          <w:i/>
        </w:rPr>
        <w:t>All of Us or None (AOUON) is a grassroots civil and human rights organization fighting for the rights of formerly</w:t>
      </w:r>
      <w:r w:rsidR="00A233F3">
        <w:rPr>
          <w:i/>
        </w:rPr>
        <w:t>—</w:t>
      </w:r>
      <w:r w:rsidRPr="00CC4979">
        <w:rPr>
          <w:i/>
        </w:rPr>
        <w:t>and currently</w:t>
      </w:r>
      <w:r w:rsidR="00A233F3">
        <w:rPr>
          <w:i/>
        </w:rPr>
        <w:t>—</w:t>
      </w:r>
      <w:r w:rsidRPr="00CC4979">
        <w:rPr>
          <w:i/>
        </w:rPr>
        <w:t>incarcerated people and our families. AOUON began the Ban the Box campaign in 2003.</w:t>
      </w:r>
    </w:p>
    <w:p w14:paraId="6285CD50" w14:textId="77777777" w:rsidR="008D0642" w:rsidRDefault="008D0642" w:rsidP="008D0642">
      <w:pPr>
        <w:spacing w:after="0" w:line="240" w:lineRule="auto"/>
        <w:rPr>
          <w:rFonts w:cstheme="minorHAnsi"/>
          <w:i/>
          <w:iCs/>
        </w:rPr>
      </w:pPr>
    </w:p>
    <w:p w14:paraId="4C8D5F35" w14:textId="75FA0087" w:rsidR="00D00539" w:rsidRPr="005B01DE" w:rsidRDefault="008D0642" w:rsidP="00D00539">
      <w:pPr>
        <w:spacing w:after="0" w:line="240" w:lineRule="auto"/>
        <w:rPr>
          <w:i/>
          <w:iCs/>
          <w:color w:val="000000"/>
          <w:shd w:val="clear" w:color="auto" w:fill="FFFFFF"/>
        </w:rPr>
      </w:pPr>
      <w:r>
        <w:rPr>
          <w:i/>
          <w:iCs/>
          <w:color w:val="000000"/>
          <w:shd w:val="clear" w:color="auto" w:fill="FFFFFF"/>
        </w:rPr>
        <w:t xml:space="preserve">Time for Change Foundation’s </w:t>
      </w:r>
      <w:r w:rsidRPr="00DA28EC">
        <w:rPr>
          <w:i/>
          <w:iCs/>
          <w:color w:val="000000"/>
          <w:shd w:val="clear" w:color="auto" w:fill="FFFFFF"/>
        </w:rPr>
        <w:t>mission is to empower disenfranchised low-income individuals and families by building leadership through evidence-based programs and housing to create self-sufficiency and thriving communities. T</w:t>
      </w:r>
      <w:r w:rsidRPr="00DA28EC">
        <w:rPr>
          <w:rStyle w:val="Emphasis"/>
          <w:color w:val="000000"/>
          <w:shd w:val="clear" w:color="auto" w:fill="FFFFFF"/>
        </w:rPr>
        <w:t>o learn more about T</w:t>
      </w:r>
      <w:r>
        <w:rPr>
          <w:rStyle w:val="Emphasis"/>
          <w:color w:val="000000"/>
          <w:shd w:val="clear" w:color="auto" w:fill="FFFFFF"/>
        </w:rPr>
        <w:t>FCF,</w:t>
      </w:r>
      <w:r w:rsidRPr="00DA28EC">
        <w:rPr>
          <w:rStyle w:val="Emphasis"/>
          <w:color w:val="000000"/>
          <w:shd w:val="clear" w:color="auto" w:fill="FFFFFF"/>
        </w:rPr>
        <w:t xml:space="preserve"> visit </w:t>
      </w:r>
      <w:hyperlink r:id="rId41" w:history="1">
        <w:r w:rsidRPr="009E57D2">
          <w:rPr>
            <w:rStyle w:val="Hyperlink"/>
            <w:i/>
            <w:shd w:val="clear" w:color="auto" w:fill="FFFFFF"/>
          </w:rPr>
          <w:t>www.TimeForChangeFoundation.org</w:t>
        </w:r>
      </w:hyperlink>
      <w:r w:rsidRPr="00DA28EC">
        <w:rPr>
          <w:rStyle w:val="Emphasis"/>
          <w:color w:val="000000"/>
          <w:shd w:val="clear" w:color="auto" w:fill="FFFFFF"/>
        </w:rPr>
        <w:t>.</w:t>
      </w:r>
    </w:p>
    <w:sectPr w:rsidR="00D00539" w:rsidRPr="005B0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9C7AD" w14:textId="77777777" w:rsidR="00E43D76" w:rsidRDefault="00E43D76" w:rsidP="00C47D42">
      <w:pPr>
        <w:spacing w:after="0" w:line="240" w:lineRule="auto"/>
      </w:pPr>
      <w:r>
        <w:separator/>
      </w:r>
    </w:p>
  </w:endnote>
  <w:endnote w:type="continuationSeparator" w:id="0">
    <w:p w14:paraId="5F547244" w14:textId="77777777" w:rsidR="00E43D76" w:rsidRDefault="00E43D76" w:rsidP="00C4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E6B20" w14:textId="77777777" w:rsidR="00E43D76" w:rsidRDefault="00E43D76" w:rsidP="00C47D42">
      <w:pPr>
        <w:spacing w:after="0" w:line="240" w:lineRule="auto"/>
      </w:pPr>
      <w:r>
        <w:separator/>
      </w:r>
    </w:p>
  </w:footnote>
  <w:footnote w:type="continuationSeparator" w:id="0">
    <w:p w14:paraId="282A6F48" w14:textId="77777777" w:rsidR="00E43D76" w:rsidRDefault="00E43D76" w:rsidP="00C47D42">
      <w:pPr>
        <w:spacing w:after="0" w:line="240" w:lineRule="auto"/>
      </w:pPr>
      <w:r>
        <w:continuationSeparator/>
      </w:r>
    </w:p>
  </w:footnote>
  <w:footnote w:id="1">
    <w:p w14:paraId="506028B7" w14:textId="77777777" w:rsidR="00C47D42" w:rsidRPr="00946579" w:rsidRDefault="00C47D42" w:rsidP="00C47D42">
      <w:pPr>
        <w:spacing w:after="0" w:line="240" w:lineRule="auto"/>
        <w:rPr>
          <w:sz w:val="16"/>
          <w:szCs w:val="16"/>
        </w:rPr>
      </w:pPr>
      <w:r w:rsidRPr="00946579">
        <w:rPr>
          <w:rStyle w:val="FootnoteReference"/>
          <w:sz w:val="16"/>
          <w:szCs w:val="16"/>
        </w:rPr>
        <w:footnoteRef/>
      </w:r>
      <w:r w:rsidRPr="00946579">
        <w:rPr>
          <w:sz w:val="16"/>
          <w:szCs w:val="16"/>
        </w:rPr>
        <w:t xml:space="preserve"> San Francisco and Los Angeles enacted local private-sector ban-the-box ordinances in 2014 and 2016, respectively. San Francisco’s enforcement agency surveys thousands of employers each year and observes overwhelming compliance (at a rate of over 80%) that continues to rise, with smaller employers leading the way (almost 90% compliance). </w:t>
      </w:r>
    </w:p>
    <w:p w14:paraId="269C0F7A" w14:textId="48C4C8B6" w:rsidR="00C47D42" w:rsidRDefault="00C47D4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15BD"/>
    <w:multiLevelType w:val="hybridMultilevel"/>
    <w:tmpl w:val="3856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3177D"/>
    <w:multiLevelType w:val="hybridMultilevel"/>
    <w:tmpl w:val="58566830"/>
    <w:lvl w:ilvl="0" w:tplc="87D0D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801F3"/>
    <w:multiLevelType w:val="hybridMultilevel"/>
    <w:tmpl w:val="C93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E1F7C"/>
    <w:multiLevelType w:val="hybridMultilevel"/>
    <w:tmpl w:val="1964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C5A6A"/>
    <w:multiLevelType w:val="hybridMultilevel"/>
    <w:tmpl w:val="DAAECF30"/>
    <w:lvl w:ilvl="0" w:tplc="01709A16">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F1BF0"/>
    <w:multiLevelType w:val="hybridMultilevel"/>
    <w:tmpl w:val="F1EE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E2461"/>
    <w:multiLevelType w:val="hybridMultilevel"/>
    <w:tmpl w:val="C418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D6603"/>
    <w:multiLevelType w:val="hybridMultilevel"/>
    <w:tmpl w:val="075A49AE"/>
    <w:lvl w:ilvl="0" w:tplc="137241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72810"/>
    <w:multiLevelType w:val="hybridMultilevel"/>
    <w:tmpl w:val="13B44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35354"/>
    <w:multiLevelType w:val="hybridMultilevel"/>
    <w:tmpl w:val="F3DC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8"/>
  </w:num>
  <w:num w:numId="5">
    <w:abstractNumId w:val="7"/>
  </w:num>
  <w:num w:numId="6">
    <w:abstractNumId w:val="5"/>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DD"/>
    <w:rsid w:val="0000358F"/>
    <w:rsid w:val="0003762A"/>
    <w:rsid w:val="000B49B4"/>
    <w:rsid w:val="000D2CA0"/>
    <w:rsid w:val="00100090"/>
    <w:rsid w:val="00141941"/>
    <w:rsid w:val="00143345"/>
    <w:rsid w:val="00161ADD"/>
    <w:rsid w:val="00180244"/>
    <w:rsid w:val="00195084"/>
    <w:rsid w:val="001C305E"/>
    <w:rsid w:val="001C3CCE"/>
    <w:rsid w:val="001C4699"/>
    <w:rsid w:val="001C6CE5"/>
    <w:rsid w:val="00214438"/>
    <w:rsid w:val="00257736"/>
    <w:rsid w:val="00262016"/>
    <w:rsid w:val="002704E9"/>
    <w:rsid w:val="002804D6"/>
    <w:rsid w:val="002C2F6D"/>
    <w:rsid w:val="002D4B9C"/>
    <w:rsid w:val="002D5AEB"/>
    <w:rsid w:val="002F0796"/>
    <w:rsid w:val="0032123D"/>
    <w:rsid w:val="003360A4"/>
    <w:rsid w:val="003411D9"/>
    <w:rsid w:val="00343AB0"/>
    <w:rsid w:val="00345D67"/>
    <w:rsid w:val="00352FDD"/>
    <w:rsid w:val="003725A9"/>
    <w:rsid w:val="00391495"/>
    <w:rsid w:val="003C2538"/>
    <w:rsid w:val="004075DA"/>
    <w:rsid w:val="00441022"/>
    <w:rsid w:val="00450F4C"/>
    <w:rsid w:val="0045564F"/>
    <w:rsid w:val="004563B4"/>
    <w:rsid w:val="00463BFF"/>
    <w:rsid w:val="0049180C"/>
    <w:rsid w:val="004923D8"/>
    <w:rsid w:val="004B29E2"/>
    <w:rsid w:val="004E26E0"/>
    <w:rsid w:val="004F3BB3"/>
    <w:rsid w:val="00504046"/>
    <w:rsid w:val="00561D6B"/>
    <w:rsid w:val="00594B3F"/>
    <w:rsid w:val="005B01DE"/>
    <w:rsid w:val="005B18CB"/>
    <w:rsid w:val="005D255D"/>
    <w:rsid w:val="005D675A"/>
    <w:rsid w:val="005F6A82"/>
    <w:rsid w:val="006021B5"/>
    <w:rsid w:val="006117EF"/>
    <w:rsid w:val="00625F88"/>
    <w:rsid w:val="006756AB"/>
    <w:rsid w:val="006776A8"/>
    <w:rsid w:val="00696163"/>
    <w:rsid w:val="00696F0E"/>
    <w:rsid w:val="006E2E00"/>
    <w:rsid w:val="007056F9"/>
    <w:rsid w:val="0073136C"/>
    <w:rsid w:val="00752543"/>
    <w:rsid w:val="00791B89"/>
    <w:rsid w:val="00792586"/>
    <w:rsid w:val="007C02A3"/>
    <w:rsid w:val="007C21C2"/>
    <w:rsid w:val="00805CA9"/>
    <w:rsid w:val="00823EAB"/>
    <w:rsid w:val="008D0642"/>
    <w:rsid w:val="008D5BB7"/>
    <w:rsid w:val="008F24D1"/>
    <w:rsid w:val="008F27DB"/>
    <w:rsid w:val="00900B98"/>
    <w:rsid w:val="00946579"/>
    <w:rsid w:val="0099195E"/>
    <w:rsid w:val="009B4E96"/>
    <w:rsid w:val="009E22E8"/>
    <w:rsid w:val="009E57D2"/>
    <w:rsid w:val="009F1D31"/>
    <w:rsid w:val="009F65F4"/>
    <w:rsid w:val="009F6DCD"/>
    <w:rsid w:val="00A233F3"/>
    <w:rsid w:val="00A3420C"/>
    <w:rsid w:val="00A6450C"/>
    <w:rsid w:val="00A662F9"/>
    <w:rsid w:val="00AB4AF4"/>
    <w:rsid w:val="00AD35E8"/>
    <w:rsid w:val="00AF3DF0"/>
    <w:rsid w:val="00AF7EFD"/>
    <w:rsid w:val="00B10E21"/>
    <w:rsid w:val="00B14CCB"/>
    <w:rsid w:val="00B34487"/>
    <w:rsid w:val="00B943AB"/>
    <w:rsid w:val="00BA6BBC"/>
    <w:rsid w:val="00BB29EF"/>
    <w:rsid w:val="00BF349B"/>
    <w:rsid w:val="00C1504A"/>
    <w:rsid w:val="00C355AB"/>
    <w:rsid w:val="00C47D42"/>
    <w:rsid w:val="00C66944"/>
    <w:rsid w:val="00C90F8E"/>
    <w:rsid w:val="00CB24FA"/>
    <w:rsid w:val="00CC4979"/>
    <w:rsid w:val="00D00539"/>
    <w:rsid w:val="00D04BDC"/>
    <w:rsid w:val="00D22237"/>
    <w:rsid w:val="00D50648"/>
    <w:rsid w:val="00D538B8"/>
    <w:rsid w:val="00D62E40"/>
    <w:rsid w:val="00D71476"/>
    <w:rsid w:val="00DA28EC"/>
    <w:rsid w:val="00DE1E15"/>
    <w:rsid w:val="00DF63B7"/>
    <w:rsid w:val="00E31928"/>
    <w:rsid w:val="00E35058"/>
    <w:rsid w:val="00E43D76"/>
    <w:rsid w:val="00E778D0"/>
    <w:rsid w:val="00E905CF"/>
    <w:rsid w:val="00EA7E71"/>
    <w:rsid w:val="00EF157E"/>
    <w:rsid w:val="00EF6643"/>
    <w:rsid w:val="00EF7ED8"/>
    <w:rsid w:val="00F15375"/>
    <w:rsid w:val="00F203B9"/>
    <w:rsid w:val="00F323B5"/>
    <w:rsid w:val="00F76BEC"/>
    <w:rsid w:val="00F916BF"/>
    <w:rsid w:val="00F9300B"/>
    <w:rsid w:val="00FB6D2C"/>
    <w:rsid w:val="00FC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A63C"/>
  <w15:chartTrackingRefBased/>
  <w15:docId w15:val="{A76C1A9E-167B-4E61-B55C-FF2C33F1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DD"/>
    <w:pPr>
      <w:ind w:left="720"/>
      <w:contextualSpacing/>
    </w:pPr>
  </w:style>
  <w:style w:type="character" w:customStyle="1" w:styleId="gmail-normaltextrun">
    <w:name w:val="gmail-normaltextrun"/>
    <w:basedOn w:val="DefaultParagraphFont"/>
    <w:rsid w:val="00E905CF"/>
  </w:style>
  <w:style w:type="character" w:styleId="Hyperlink">
    <w:name w:val="Hyperlink"/>
    <w:basedOn w:val="DefaultParagraphFont"/>
    <w:uiPriority w:val="99"/>
    <w:unhideWhenUsed/>
    <w:rsid w:val="00100090"/>
    <w:rPr>
      <w:color w:val="0563C1" w:themeColor="hyperlink"/>
      <w:u w:val="single"/>
    </w:rPr>
  </w:style>
  <w:style w:type="character" w:styleId="CommentReference">
    <w:name w:val="annotation reference"/>
    <w:basedOn w:val="DefaultParagraphFont"/>
    <w:uiPriority w:val="99"/>
    <w:semiHidden/>
    <w:unhideWhenUsed/>
    <w:rsid w:val="00B14CCB"/>
    <w:rPr>
      <w:sz w:val="16"/>
      <w:szCs w:val="16"/>
    </w:rPr>
  </w:style>
  <w:style w:type="paragraph" w:styleId="CommentText">
    <w:name w:val="annotation text"/>
    <w:basedOn w:val="Normal"/>
    <w:link w:val="CommentTextChar"/>
    <w:uiPriority w:val="99"/>
    <w:semiHidden/>
    <w:unhideWhenUsed/>
    <w:rsid w:val="00B14CCB"/>
    <w:pPr>
      <w:spacing w:line="240" w:lineRule="auto"/>
    </w:pPr>
    <w:rPr>
      <w:sz w:val="20"/>
      <w:szCs w:val="20"/>
    </w:rPr>
  </w:style>
  <w:style w:type="character" w:customStyle="1" w:styleId="CommentTextChar">
    <w:name w:val="Comment Text Char"/>
    <w:basedOn w:val="DefaultParagraphFont"/>
    <w:link w:val="CommentText"/>
    <w:uiPriority w:val="99"/>
    <w:semiHidden/>
    <w:rsid w:val="00B14CCB"/>
    <w:rPr>
      <w:sz w:val="20"/>
      <w:szCs w:val="20"/>
    </w:rPr>
  </w:style>
  <w:style w:type="paragraph" w:styleId="CommentSubject">
    <w:name w:val="annotation subject"/>
    <w:basedOn w:val="CommentText"/>
    <w:next w:val="CommentText"/>
    <w:link w:val="CommentSubjectChar"/>
    <w:uiPriority w:val="99"/>
    <w:semiHidden/>
    <w:unhideWhenUsed/>
    <w:rsid w:val="00B14CCB"/>
    <w:rPr>
      <w:b/>
      <w:bCs/>
    </w:rPr>
  </w:style>
  <w:style w:type="character" w:customStyle="1" w:styleId="CommentSubjectChar">
    <w:name w:val="Comment Subject Char"/>
    <w:basedOn w:val="CommentTextChar"/>
    <w:link w:val="CommentSubject"/>
    <w:uiPriority w:val="99"/>
    <w:semiHidden/>
    <w:rsid w:val="00B14CCB"/>
    <w:rPr>
      <w:b/>
      <w:bCs/>
      <w:sz w:val="20"/>
      <w:szCs w:val="20"/>
    </w:rPr>
  </w:style>
  <w:style w:type="paragraph" w:styleId="BalloonText">
    <w:name w:val="Balloon Text"/>
    <w:basedOn w:val="Normal"/>
    <w:link w:val="BalloonTextChar"/>
    <w:uiPriority w:val="99"/>
    <w:semiHidden/>
    <w:unhideWhenUsed/>
    <w:rsid w:val="00B1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CCB"/>
    <w:rPr>
      <w:rFonts w:ascii="Segoe UI" w:hAnsi="Segoe UI" w:cs="Segoe UI"/>
      <w:sz w:val="18"/>
      <w:szCs w:val="18"/>
    </w:rPr>
  </w:style>
  <w:style w:type="character" w:styleId="FollowedHyperlink">
    <w:name w:val="FollowedHyperlink"/>
    <w:basedOn w:val="DefaultParagraphFont"/>
    <w:uiPriority w:val="99"/>
    <w:semiHidden/>
    <w:unhideWhenUsed/>
    <w:rsid w:val="002D4B9C"/>
    <w:rPr>
      <w:color w:val="954F72" w:themeColor="followedHyperlink"/>
      <w:u w:val="single"/>
    </w:rPr>
  </w:style>
  <w:style w:type="paragraph" w:styleId="Revision">
    <w:name w:val="Revision"/>
    <w:hidden/>
    <w:uiPriority w:val="99"/>
    <w:semiHidden/>
    <w:rsid w:val="00561D6B"/>
    <w:pPr>
      <w:spacing w:after="0" w:line="240" w:lineRule="auto"/>
    </w:pPr>
  </w:style>
  <w:style w:type="character" w:styleId="Emphasis">
    <w:name w:val="Emphasis"/>
    <w:basedOn w:val="DefaultParagraphFont"/>
    <w:uiPriority w:val="20"/>
    <w:qFormat/>
    <w:rsid w:val="00DA28EC"/>
    <w:rPr>
      <w:i/>
      <w:iCs/>
    </w:rPr>
  </w:style>
  <w:style w:type="paragraph" w:styleId="FootnoteText">
    <w:name w:val="footnote text"/>
    <w:basedOn w:val="Normal"/>
    <w:link w:val="FootnoteTextChar"/>
    <w:uiPriority w:val="99"/>
    <w:semiHidden/>
    <w:unhideWhenUsed/>
    <w:rsid w:val="00C47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D42"/>
    <w:rPr>
      <w:sz w:val="20"/>
      <w:szCs w:val="20"/>
    </w:rPr>
  </w:style>
  <w:style w:type="character" w:styleId="FootnoteReference">
    <w:name w:val="footnote reference"/>
    <w:basedOn w:val="DefaultParagraphFont"/>
    <w:uiPriority w:val="99"/>
    <w:semiHidden/>
    <w:unhideWhenUsed/>
    <w:rsid w:val="00C47D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8836">
      <w:bodyDiv w:val="1"/>
      <w:marLeft w:val="0"/>
      <w:marRight w:val="0"/>
      <w:marTop w:val="0"/>
      <w:marBottom w:val="0"/>
      <w:divBdr>
        <w:top w:val="none" w:sz="0" w:space="0" w:color="auto"/>
        <w:left w:val="none" w:sz="0" w:space="0" w:color="auto"/>
        <w:bottom w:val="none" w:sz="0" w:space="0" w:color="auto"/>
        <w:right w:val="none" w:sz="0" w:space="0" w:color="auto"/>
      </w:divBdr>
    </w:div>
    <w:div w:id="407769837">
      <w:bodyDiv w:val="1"/>
      <w:marLeft w:val="0"/>
      <w:marRight w:val="0"/>
      <w:marTop w:val="0"/>
      <w:marBottom w:val="0"/>
      <w:divBdr>
        <w:top w:val="none" w:sz="0" w:space="0" w:color="auto"/>
        <w:left w:val="none" w:sz="0" w:space="0" w:color="auto"/>
        <w:bottom w:val="none" w:sz="0" w:space="0" w:color="auto"/>
        <w:right w:val="none" w:sz="0" w:space="0" w:color="auto"/>
      </w:divBdr>
    </w:div>
    <w:div w:id="1295256275">
      <w:bodyDiv w:val="1"/>
      <w:marLeft w:val="0"/>
      <w:marRight w:val="0"/>
      <w:marTop w:val="0"/>
      <w:marBottom w:val="0"/>
      <w:divBdr>
        <w:top w:val="none" w:sz="0" w:space="0" w:color="auto"/>
        <w:left w:val="none" w:sz="0" w:space="0" w:color="auto"/>
        <w:bottom w:val="none" w:sz="0" w:space="0" w:color="auto"/>
        <w:right w:val="none" w:sz="0" w:space="0" w:color="auto"/>
      </w:divBdr>
    </w:div>
    <w:div w:id="1548906218">
      <w:bodyDiv w:val="1"/>
      <w:marLeft w:val="0"/>
      <w:marRight w:val="0"/>
      <w:marTop w:val="0"/>
      <w:marBottom w:val="0"/>
      <w:divBdr>
        <w:top w:val="none" w:sz="0" w:space="0" w:color="auto"/>
        <w:left w:val="none" w:sz="0" w:space="0" w:color="auto"/>
        <w:bottom w:val="none" w:sz="0" w:space="0" w:color="auto"/>
        <w:right w:val="none" w:sz="0" w:space="0" w:color="auto"/>
      </w:divBdr>
    </w:div>
    <w:div w:id="190803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c@prisonerswithchildren.org" TargetMode="External"/><Relationship Id="rId18" Type="http://schemas.openxmlformats.org/officeDocument/2006/relationships/hyperlink" Target="http://bit.ly/CAFairChanceWorkers" TargetMode="External"/><Relationship Id="rId26" Type="http://schemas.openxmlformats.org/officeDocument/2006/relationships/hyperlink" Target="http://leginfo.legislature.ca.gov/faces/codes_displaySection.xhtml?sectionNum=432.7.&amp;lawCode=LAB" TargetMode="External"/><Relationship Id="rId39" Type="http://schemas.openxmlformats.org/officeDocument/2006/relationships/hyperlink" Target="http://www.nelp.org" TargetMode="External"/><Relationship Id="rId21" Type="http://schemas.openxmlformats.org/officeDocument/2006/relationships/hyperlink" Target="https://www.dfeh.ca.gov/filing-a-complaint-by-mail/" TargetMode="External"/><Relationship Id="rId34" Type="http://schemas.openxmlformats.org/officeDocument/2006/relationships/hyperlink" Target="http://www.prisonerswithchildren.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t.ly/CAFairChanceWorkers" TargetMode="External"/><Relationship Id="rId20" Type="http://schemas.openxmlformats.org/officeDocument/2006/relationships/hyperlink" Target="https://ccrs.dfeh.ca.gov/" TargetMode="External"/><Relationship Id="rId29" Type="http://schemas.openxmlformats.org/officeDocument/2006/relationships/hyperlink" Target="http://sfgov.org/olse/fair-chance-ordinance-fco" TargetMode="External"/><Relationship Id="rId41" Type="http://schemas.openxmlformats.org/officeDocument/2006/relationships/hyperlink" Target="http://www.TimeForChangeFound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eeoc.gov/eeoc/publications/background_checks_employers.cfm" TargetMode="External"/><Relationship Id="rId32" Type="http://schemas.openxmlformats.org/officeDocument/2006/relationships/hyperlink" Target="http://www.nelp.org/publication/research-supports-fair-chance-policies/" TargetMode="External"/><Relationship Id="rId37" Type="http://schemas.openxmlformats.org/officeDocument/2006/relationships/hyperlink" Target="http://bit.ly/CAFairChanceWorkers" TargetMode="External"/><Relationship Id="rId40" Type="http://schemas.openxmlformats.org/officeDocument/2006/relationships/hyperlink" Target="http://www.prisonerswithchildren.org/" TargetMode="External"/><Relationship Id="rId5" Type="http://schemas.openxmlformats.org/officeDocument/2006/relationships/webSettings" Target="webSettings.xml"/><Relationship Id="rId15" Type="http://schemas.openxmlformats.org/officeDocument/2006/relationships/hyperlink" Target="https://leginfo.legislature.ca.gov/faces/billNavClient.xhtml?bill_id=201720180AB1008" TargetMode="External"/><Relationship Id="rId23" Type="http://schemas.openxmlformats.org/officeDocument/2006/relationships/hyperlink" Target="https://www.dfeh.ca.gov/contact-us/office-locations/" TargetMode="External"/><Relationship Id="rId28" Type="http://schemas.openxmlformats.org/officeDocument/2006/relationships/hyperlink" Target="https://www.dfeh.ca.gov/wp-content/uploads/sites/32/2017/06/FinalText-CriminalHistoryEmployDecRegulations.pdf" TargetMode="External"/><Relationship Id="rId36" Type="http://schemas.openxmlformats.org/officeDocument/2006/relationships/hyperlink" Target="http://www.timeforchangefoundation.org/" TargetMode="External"/><Relationship Id="rId10" Type="http://schemas.openxmlformats.org/officeDocument/2006/relationships/image" Target="media/image3.jpeg"/><Relationship Id="rId19" Type="http://schemas.openxmlformats.org/officeDocument/2006/relationships/hyperlink" Target="http://bit.ly/CAFairChanceEmployers" TargetMode="External"/><Relationship Id="rId31" Type="http://schemas.openxmlformats.org/officeDocument/2006/relationships/hyperlink" Target="https://givesomethingbac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creighton@timeforchangefoundation.org" TargetMode="External"/><Relationship Id="rId22" Type="http://schemas.openxmlformats.org/officeDocument/2006/relationships/hyperlink" Target="mailto:contact.center@dfeh.ca.gov" TargetMode="External"/><Relationship Id="rId27" Type="http://schemas.openxmlformats.org/officeDocument/2006/relationships/hyperlink" Target="https://www.eeoc.gov/laws/guidance/arrest_conviction.cfm" TargetMode="External"/><Relationship Id="rId30" Type="http://schemas.openxmlformats.org/officeDocument/2006/relationships/hyperlink" Target="http://bca.lacity.org/fair-chance" TargetMode="External"/><Relationship Id="rId35" Type="http://schemas.openxmlformats.org/officeDocument/2006/relationships/hyperlink" Target="http://www.prisonerswithchildren.org/our-projects/allofus-or-none/"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anna.susman@berlinrosen.com" TargetMode="External"/><Relationship Id="rId17" Type="http://schemas.openxmlformats.org/officeDocument/2006/relationships/hyperlink" Target="http://bit.ly/CAFairChanceEmployers" TargetMode="External"/><Relationship Id="rId25" Type="http://schemas.openxmlformats.org/officeDocument/2006/relationships/hyperlink" Target="https://www.privacyrights.org/consumer-guides/employment-background-checks-california-focus-accuracy" TargetMode="External"/><Relationship Id="rId33" Type="http://schemas.openxmlformats.org/officeDocument/2006/relationships/hyperlink" Target="http://www.nelp.org/campaign/ensuring-fair-chance-to-work/" TargetMode="External"/><Relationship Id="rId38" Type="http://schemas.openxmlformats.org/officeDocument/2006/relationships/hyperlink" Target="http://bit.ly/CAFairChance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EC820-725F-41E9-8227-1F7E4FBB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Avery</dc:creator>
  <cp:keywords/>
  <dc:description/>
  <cp:lastModifiedBy>Norman Eng</cp:lastModifiedBy>
  <cp:revision>2</cp:revision>
  <dcterms:created xsi:type="dcterms:W3CDTF">2017-12-20T18:37:00Z</dcterms:created>
  <dcterms:modified xsi:type="dcterms:W3CDTF">2017-12-20T18:37:00Z</dcterms:modified>
</cp:coreProperties>
</file>