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01A9A" w:rsidRPr="002B71D5" w:rsidRDefault="00DE5B24">
      <w:pPr>
        <w:rPr>
          <w:rFonts w:ascii="Calibri" w:eastAsia="Calibri" w:hAnsi="Calibri" w:cs="Calibri"/>
          <w:b/>
          <w:color w:val="222222"/>
          <w:sz w:val="26"/>
          <w:szCs w:val="26"/>
          <w:highlight w:val="white"/>
          <w:u w:val="single"/>
        </w:rPr>
      </w:pPr>
      <w:r w:rsidRPr="002B71D5">
        <w:rPr>
          <w:rFonts w:ascii="Calibri" w:eastAsia="Calibri" w:hAnsi="Calibri" w:cs="Calibri"/>
          <w:b/>
          <w:color w:val="222222"/>
          <w:sz w:val="26"/>
          <w:szCs w:val="26"/>
          <w:highlight w:val="white"/>
          <w:u w:val="single"/>
        </w:rPr>
        <w:t>FOR IMMEDIATE RELEASE</w:t>
      </w:r>
    </w:p>
    <w:p w:rsidR="00701A9A" w:rsidRPr="002B71D5" w:rsidRDefault="00701A9A">
      <w:pPr>
        <w:rPr>
          <w:rFonts w:ascii="Calibri" w:eastAsia="Calibri" w:hAnsi="Calibri" w:cs="Calibri"/>
          <w:b/>
          <w:color w:val="222222"/>
          <w:sz w:val="26"/>
          <w:szCs w:val="26"/>
          <w:highlight w:val="white"/>
          <w:u w:val="single"/>
        </w:rPr>
      </w:pPr>
    </w:p>
    <w:p w:rsidR="00701A9A" w:rsidRPr="002B71D5" w:rsidRDefault="00DE5B24">
      <w:pPr>
        <w:rPr>
          <w:rFonts w:ascii="Calibri" w:eastAsia="Calibri" w:hAnsi="Calibri" w:cs="Calibri"/>
          <w:b/>
          <w:color w:val="222222"/>
          <w:sz w:val="26"/>
          <w:szCs w:val="26"/>
          <w:highlight w:val="white"/>
          <w:u w:val="single"/>
        </w:rPr>
      </w:pPr>
      <w:r w:rsidRPr="002B71D5">
        <w:rPr>
          <w:rFonts w:ascii="Calibri" w:eastAsia="Calibri" w:hAnsi="Calibri" w:cs="Calibri"/>
          <w:b/>
          <w:color w:val="222222"/>
          <w:sz w:val="26"/>
          <w:szCs w:val="26"/>
          <w:highlight w:val="white"/>
          <w:u w:val="single"/>
        </w:rPr>
        <w:t xml:space="preserve">Media contact: </w:t>
      </w:r>
    </w:p>
    <w:p w:rsidR="00701A9A" w:rsidRPr="002B71D5" w:rsidRDefault="00DE5B24">
      <w:pPr>
        <w:numPr>
          <w:ilvl w:val="0"/>
          <w:numId w:val="1"/>
        </w:numPr>
        <w:contextualSpacing/>
        <w:rPr>
          <w:rFonts w:ascii="Calibri" w:eastAsia="Calibri" w:hAnsi="Calibri" w:cs="Calibri"/>
          <w:color w:val="222222"/>
        </w:rPr>
      </w:pPr>
      <w:r w:rsidRPr="002B71D5">
        <w:rPr>
          <w:rFonts w:ascii="Calibri" w:eastAsia="Calibri" w:hAnsi="Calibri" w:cs="Calibri"/>
          <w:color w:val="222222"/>
        </w:rPr>
        <w:t>LSPC:</w:t>
      </w:r>
      <w:r w:rsidR="00905161">
        <w:rPr>
          <w:rFonts w:ascii="Calibri" w:eastAsia="Calibri" w:hAnsi="Calibri" w:cs="Calibri"/>
          <w:color w:val="222222"/>
        </w:rPr>
        <w:t xml:space="preserve"> Brittany Stonesifer, </w:t>
      </w:r>
      <w:hyperlink r:id="rId5" w:history="1">
        <w:r w:rsidR="00905161" w:rsidRPr="005012F9">
          <w:rPr>
            <w:rStyle w:val="Hyperlink"/>
            <w:rFonts w:ascii="Calibri" w:eastAsia="Calibri" w:hAnsi="Calibri" w:cs="Calibri"/>
          </w:rPr>
          <w:t>brittany@prisonerswithchildren.org</w:t>
        </w:r>
      </w:hyperlink>
      <w:r w:rsidR="00905161">
        <w:rPr>
          <w:rFonts w:ascii="Calibri" w:eastAsia="Calibri" w:hAnsi="Calibri" w:cs="Calibri"/>
          <w:color w:val="222222"/>
        </w:rPr>
        <w:t>, 415- 625-7046</w:t>
      </w:r>
    </w:p>
    <w:p w:rsidR="00701A9A" w:rsidRPr="002B71D5" w:rsidRDefault="00DE5B24">
      <w:pPr>
        <w:numPr>
          <w:ilvl w:val="0"/>
          <w:numId w:val="2"/>
        </w:numPr>
        <w:contextualSpacing/>
        <w:rPr>
          <w:rFonts w:ascii="Calibri" w:eastAsia="Calibri" w:hAnsi="Calibri" w:cs="Calibri"/>
          <w:color w:val="222222"/>
        </w:rPr>
      </w:pPr>
      <w:r w:rsidRPr="002B71D5">
        <w:rPr>
          <w:rFonts w:ascii="Calibri" w:eastAsia="Calibri" w:hAnsi="Calibri" w:cs="Calibri"/>
          <w:color w:val="222222"/>
        </w:rPr>
        <w:t xml:space="preserve">EBCLC: Theresa Zhen, </w:t>
      </w:r>
      <w:hyperlink r:id="rId6" w:history="1">
        <w:r w:rsidRPr="002B71D5">
          <w:rPr>
            <w:rFonts w:ascii="Calibri" w:eastAsia="Calibri" w:hAnsi="Calibri" w:cs="Calibri"/>
            <w:color w:val="1155CC"/>
            <w:u w:val="single"/>
          </w:rPr>
          <w:t>tzhen@ebclc.org</w:t>
        </w:r>
      </w:hyperlink>
      <w:r w:rsidRPr="002B71D5">
        <w:rPr>
          <w:rFonts w:ascii="Calibri" w:eastAsia="Calibri" w:hAnsi="Calibri" w:cs="Calibri"/>
          <w:color w:val="222222"/>
        </w:rPr>
        <w:t>, 510-269-6635</w:t>
      </w:r>
    </w:p>
    <w:p w:rsidR="00701A9A" w:rsidRPr="002B71D5" w:rsidRDefault="00DE5B24">
      <w:pPr>
        <w:numPr>
          <w:ilvl w:val="0"/>
          <w:numId w:val="2"/>
        </w:numPr>
        <w:contextualSpacing/>
        <w:rPr>
          <w:rFonts w:ascii="Calibri" w:eastAsia="Calibri" w:hAnsi="Calibri" w:cs="Calibri"/>
          <w:color w:val="222222"/>
        </w:rPr>
      </w:pPr>
      <w:r w:rsidRPr="002B71D5">
        <w:rPr>
          <w:rFonts w:ascii="Calibri" w:eastAsia="Calibri" w:hAnsi="Calibri" w:cs="Calibri"/>
          <w:color w:val="222222"/>
        </w:rPr>
        <w:t xml:space="preserve">ACLU SoCal: Communications &amp; Media Advocacy, </w:t>
      </w:r>
      <w:hyperlink r:id="rId7" w:history="1">
        <w:r w:rsidRPr="002B71D5">
          <w:rPr>
            <w:rFonts w:ascii="Calibri" w:eastAsia="Calibri" w:hAnsi="Calibri" w:cs="Calibri"/>
            <w:color w:val="1155CC"/>
            <w:u w:val="single"/>
          </w:rPr>
          <w:t>communications@aclusocal.org</w:t>
        </w:r>
      </w:hyperlink>
      <w:r w:rsidRPr="002B71D5">
        <w:rPr>
          <w:rFonts w:ascii="Calibri" w:eastAsia="Calibri" w:hAnsi="Calibri" w:cs="Calibri"/>
          <w:color w:val="222222"/>
        </w:rPr>
        <w:t>, 213-977-5252</w:t>
      </w:r>
    </w:p>
    <w:p w:rsidR="00701A9A" w:rsidRPr="002B71D5" w:rsidRDefault="00701A9A">
      <w:pPr>
        <w:rPr>
          <w:rFonts w:ascii="Calibri" w:eastAsia="Calibri" w:hAnsi="Calibri" w:cs="Calibri"/>
          <w:b/>
          <w:color w:val="222222"/>
          <w:sz w:val="26"/>
          <w:szCs w:val="26"/>
          <w:highlight w:val="white"/>
          <w:u w:val="single"/>
        </w:rPr>
      </w:pPr>
    </w:p>
    <w:p w:rsidR="00701A9A" w:rsidRPr="002B71D5" w:rsidRDefault="00DE5B24">
      <w:pPr>
        <w:rPr>
          <w:rFonts w:ascii="Calibri" w:eastAsia="Calibri" w:hAnsi="Calibri" w:cs="Calibri"/>
          <w:b/>
          <w:color w:val="222222"/>
          <w:sz w:val="26"/>
          <w:szCs w:val="26"/>
          <w:highlight w:val="white"/>
          <w:u w:val="single"/>
        </w:rPr>
      </w:pPr>
      <w:r w:rsidRPr="002B71D5">
        <w:rPr>
          <w:rFonts w:ascii="Calibri" w:eastAsia="Calibri" w:hAnsi="Calibri" w:cs="Calibri"/>
          <w:b/>
          <w:color w:val="222222"/>
          <w:sz w:val="26"/>
          <w:szCs w:val="26"/>
          <w:highlight w:val="white"/>
          <w:u w:val="single"/>
        </w:rPr>
        <w:t>October 18, 2017</w:t>
      </w:r>
    </w:p>
    <w:p w:rsidR="00701A9A" w:rsidRPr="002B71D5" w:rsidRDefault="00701A9A">
      <w:pPr>
        <w:rPr>
          <w:rFonts w:ascii="Calibri" w:eastAsia="Calibri" w:hAnsi="Calibri" w:cs="Calibri"/>
          <w:b/>
          <w:color w:val="222222"/>
          <w:sz w:val="26"/>
          <w:szCs w:val="26"/>
          <w:highlight w:val="white"/>
          <w:u w:val="single"/>
        </w:rPr>
      </w:pPr>
    </w:p>
    <w:p w:rsidR="00701A9A" w:rsidRPr="002B71D5" w:rsidRDefault="00DE5B24">
      <w:pPr>
        <w:rPr>
          <w:rFonts w:ascii="Calibri" w:eastAsia="Calibri" w:hAnsi="Calibri" w:cs="Calibri"/>
          <w:b/>
          <w:color w:val="222222"/>
          <w:sz w:val="36"/>
          <w:szCs w:val="36"/>
          <w:highlight w:val="white"/>
          <w:u w:val="single"/>
        </w:rPr>
      </w:pPr>
      <w:r w:rsidRPr="002B71D5">
        <w:rPr>
          <w:rFonts w:ascii="Calibri" w:eastAsia="Calibri" w:hAnsi="Calibri" w:cs="Calibri"/>
          <w:b/>
          <w:color w:val="222222"/>
          <w:sz w:val="36"/>
          <w:szCs w:val="36"/>
          <w:highlight w:val="white"/>
          <w:u w:val="single"/>
        </w:rPr>
        <w:t>New Toolkit Helps Advocates Protect Traffic Court Defendants Who Can’t Afford to Pay</w:t>
      </w:r>
    </w:p>
    <w:p w:rsidR="00701A9A" w:rsidRDefault="00701A9A" w:rsidP="002B71D5">
      <w:pPr>
        <w:contextualSpacing/>
        <w:rPr>
          <w:rFonts w:ascii="Calibri" w:eastAsia="Calibri" w:hAnsi="Calibri" w:cs="Calibri"/>
          <w:color w:val="222222"/>
          <w:highlight w:val="yellow"/>
        </w:rPr>
      </w:pPr>
    </w:p>
    <w:p w:rsidR="00701A9A" w:rsidRDefault="00701A9A">
      <w:pPr>
        <w:rPr>
          <w:rFonts w:ascii="Calibri" w:eastAsia="Calibri" w:hAnsi="Calibri" w:cs="Calibri"/>
          <w:color w:val="222222"/>
          <w:highlight w:val="white"/>
        </w:rPr>
      </w:pPr>
    </w:p>
    <w:p w:rsidR="00701A9A" w:rsidRDefault="00905161">
      <w:pPr>
        <w:rPr>
          <w:rFonts w:ascii="Calibri" w:eastAsia="Calibri" w:hAnsi="Calibri" w:cs="Calibri"/>
          <w:color w:val="222222"/>
          <w:highlight w:val="white"/>
        </w:rPr>
      </w:pPr>
      <w:r w:rsidRPr="00905161">
        <w:rPr>
          <w:rFonts w:ascii="Calibri" w:eastAsia="Calibri" w:hAnsi="Calibri" w:cs="Calibri"/>
          <w:i/>
          <w:color w:val="222222"/>
          <w:highlight w:val="white"/>
        </w:rPr>
        <w:t>San Francsco, California</w:t>
      </w:r>
      <w:r w:rsidR="00DE5B24">
        <w:rPr>
          <w:rFonts w:ascii="Calibri" w:eastAsia="Calibri" w:hAnsi="Calibri" w:cs="Calibri"/>
          <w:color w:val="222222"/>
          <w:highlight w:val="white"/>
        </w:rPr>
        <w:t xml:space="preserve"> - This week, the Back on the Road Coalition released </w:t>
      </w:r>
      <w:hyperlink r:id="rId8">
        <w:r w:rsidR="00DE5B24">
          <w:rPr>
            <w:rFonts w:ascii="Calibri" w:eastAsia="Calibri" w:hAnsi="Calibri" w:cs="Calibri"/>
            <w:b/>
            <w:i/>
            <w:color w:val="1155CC"/>
            <w:u w:val="single"/>
          </w:rPr>
          <w:t>Ability to Pay</w:t>
        </w:r>
      </w:hyperlink>
      <w:r w:rsidR="00DE5B24">
        <w:rPr>
          <w:rFonts w:ascii="Calibri" w:eastAsia="Calibri" w:hAnsi="Calibri" w:cs="Calibri"/>
          <w:b/>
          <w:color w:val="222222"/>
        </w:rPr>
        <w:t xml:space="preserve">, a toolkit </w:t>
      </w:r>
      <w:r w:rsidR="00DE5B24">
        <w:rPr>
          <w:rFonts w:ascii="Calibri" w:eastAsia="Calibri" w:hAnsi="Calibri" w:cs="Calibri"/>
          <w:color w:val="222222"/>
          <w:highlight w:val="white"/>
        </w:rPr>
        <w:t xml:space="preserve">to help legal services providers, public defenders, and self-represented court users to advocate for full legal protection of individuals unable to afford California’s </w:t>
      </w:r>
      <w:hyperlink r:id="rId9">
        <w:r w:rsidR="00DE5B24">
          <w:rPr>
            <w:rFonts w:ascii="Calibri" w:eastAsia="Calibri" w:hAnsi="Calibri" w:cs="Calibri"/>
            <w:color w:val="1155CC"/>
            <w:highlight w:val="white"/>
            <w:u w:val="single"/>
          </w:rPr>
          <w:t xml:space="preserve">exceptionally </w:t>
        </w:r>
      </w:hyperlink>
      <w:r w:rsidR="00DE5B24">
        <w:rPr>
          <w:rFonts w:ascii="Calibri" w:eastAsia="Calibri" w:hAnsi="Calibri" w:cs="Calibri"/>
          <w:color w:val="222222"/>
          <w:highlight w:val="white"/>
        </w:rPr>
        <w:t xml:space="preserve">costly traffic tickets. </w:t>
      </w:r>
    </w:p>
    <w:p w:rsidR="00701A9A" w:rsidRDefault="00701A9A">
      <w:pPr>
        <w:rPr>
          <w:rFonts w:ascii="Calibri" w:eastAsia="Calibri" w:hAnsi="Calibri" w:cs="Calibri"/>
          <w:color w:val="222222"/>
          <w:highlight w:val="white"/>
        </w:rPr>
      </w:pPr>
    </w:p>
    <w:p w:rsidR="00701A9A" w:rsidRDefault="00DE5B24">
      <w:pPr>
        <w:rPr>
          <w:rFonts w:ascii="Calibri" w:eastAsia="Calibri" w:hAnsi="Calibri" w:cs="Calibri"/>
          <w:color w:val="222222"/>
          <w:highlight w:val="white"/>
        </w:rPr>
      </w:pPr>
      <w:r>
        <w:rPr>
          <w:rFonts w:ascii="Calibri" w:eastAsia="Calibri" w:hAnsi="Calibri" w:cs="Calibri"/>
          <w:color w:val="222222"/>
          <w:highlight w:val="white"/>
        </w:rPr>
        <w:t xml:space="preserve">The toolkit comes on the heels of earlier successes by the Back on the Road Coalition this year, including a </w:t>
      </w:r>
      <w:hyperlink r:id="rId10" w:history="1">
        <w:r w:rsidRPr="002B71D5">
          <w:rPr>
            <w:rStyle w:val="Hyperlink"/>
            <w:rFonts w:ascii="Calibri" w:eastAsia="Calibri" w:hAnsi="Calibri" w:cs="Calibri"/>
          </w:rPr>
          <w:t>legislative end</w:t>
        </w:r>
      </w:hyperlink>
      <w:r>
        <w:rPr>
          <w:rFonts w:ascii="Calibri" w:eastAsia="Calibri" w:hAnsi="Calibri" w:cs="Calibri"/>
          <w:color w:val="222222"/>
          <w:highlight w:val="white"/>
        </w:rPr>
        <w:t xml:space="preserve"> to the practice of using license suspension to force collection from people who miss a payment on their traffic ticket and the establishment</w:t>
      </w:r>
      <w:r w:rsidR="002B71D5">
        <w:rPr>
          <w:rFonts w:ascii="Calibri" w:eastAsia="Calibri" w:hAnsi="Calibri" w:cs="Calibri"/>
          <w:color w:val="222222"/>
          <w:highlight w:val="white"/>
        </w:rPr>
        <w:t xml:space="preserve"> of</w:t>
      </w:r>
      <w:r>
        <w:rPr>
          <w:rFonts w:ascii="Calibri" w:eastAsia="Calibri" w:hAnsi="Calibri" w:cs="Calibri"/>
          <w:color w:val="222222"/>
          <w:highlight w:val="white"/>
        </w:rPr>
        <w:t xml:space="preserve"> </w:t>
      </w:r>
      <w:hyperlink r:id="rId11" w:history="1">
        <w:r w:rsidR="002B71D5">
          <w:rPr>
            <w:rStyle w:val="Hyperlink"/>
            <w:rFonts w:ascii="Calibri" w:eastAsia="Calibri" w:hAnsi="Calibri" w:cs="Calibri"/>
          </w:rPr>
          <w:t>statewide rules of court</w:t>
        </w:r>
      </w:hyperlink>
      <w:r>
        <w:rPr>
          <w:rFonts w:ascii="Calibri" w:eastAsia="Calibri" w:hAnsi="Calibri" w:cs="Calibri"/>
          <w:color w:val="222222"/>
          <w:highlight w:val="white"/>
        </w:rPr>
        <w:t xml:space="preserve"> to protect low-income drivers. </w:t>
      </w:r>
    </w:p>
    <w:p w:rsidR="00701A9A" w:rsidRDefault="00701A9A">
      <w:pPr>
        <w:rPr>
          <w:rFonts w:ascii="Calibri" w:eastAsia="Calibri" w:hAnsi="Calibri" w:cs="Calibri"/>
          <w:color w:val="222222"/>
          <w:highlight w:val="white"/>
        </w:rPr>
      </w:pPr>
    </w:p>
    <w:p w:rsidR="00701A9A" w:rsidRPr="002B71D5" w:rsidRDefault="00DE5B24">
      <w:pPr>
        <w:rPr>
          <w:rFonts w:ascii="Calibri" w:eastAsia="Calibri" w:hAnsi="Calibri" w:cs="Calibri"/>
          <w:color w:val="auto"/>
        </w:rPr>
      </w:pPr>
      <w:r w:rsidRPr="002B71D5">
        <w:rPr>
          <w:rFonts w:ascii="Calibri" w:eastAsia="Calibri" w:hAnsi="Calibri" w:cs="Calibri"/>
          <w:color w:val="auto"/>
        </w:rPr>
        <w:t xml:space="preserve">The </w:t>
      </w:r>
      <w:r w:rsidRPr="002B71D5">
        <w:rPr>
          <w:rFonts w:ascii="Calibri" w:eastAsia="Calibri" w:hAnsi="Calibri" w:cs="Calibri"/>
          <w:b/>
          <w:i/>
          <w:color w:val="auto"/>
        </w:rPr>
        <w:t>Ability to Pay</w:t>
      </w:r>
      <w:r w:rsidRPr="002B71D5">
        <w:rPr>
          <w:rFonts w:ascii="Calibri" w:eastAsia="Calibri" w:hAnsi="Calibri" w:cs="Calibri"/>
          <w:b/>
          <w:color w:val="auto"/>
        </w:rPr>
        <w:t xml:space="preserve"> toolkit</w:t>
      </w:r>
      <w:r w:rsidRPr="002B71D5">
        <w:rPr>
          <w:rFonts w:ascii="Calibri" w:eastAsia="Calibri" w:hAnsi="Calibri" w:cs="Calibri"/>
          <w:color w:val="auto"/>
        </w:rPr>
        <w:t xml:space="preserve"> includes:</w:t>
      </w:r>
      <w:r w:rsidRPr="002B71D5">
        <w:rPr>
          <w:rFonts w:ascii="Calibri" w:eastAsia="Calibri" w:hAnsi="Calibri" w:cs="Calibri"/>
          <w:noProof/>
          <w:color w:val="auto"/>
        </w:rPr>
        <w:drawing>
          <wp:inline distT="114300" distB="114300" distL="114300" distR="114300">
            <wp:extent cx="9525" cy="9525"/>
            <wp:effectExtent l="0" t="0" r="0" b="0"/>
            <wp:docPr id="1"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2"/>
                    <a:srcRect/>
                    <a:stretch>
                      <a:fillRect/>
                    </a:stretch>
                  </pic:blipFill>
                  <pic:spPr>
                    <a:xfrm>
                      <a:off x="0" y="0"/>
                      <a:ext cx="9525" cy="9525"/>
                    </a:xfrm>
                    <a:prstGeom prst="rect">
                      <a:avLst/>
                    </a:prstGeom>
                    <a:ln/>
                  </pic:spPr>
                </pic:pic>
              </a:graphicData>
            </a:graphic>
          </wp:inline>
        </w:drawing>
      </w:r>
    </w:p>
    <w:p w:rsidR="00701A9A" w:rsidRPr="002B71D5" w:rsidRDefault="00DE5B24">
      <w:pPr>
        <w:numPr>
          <w:ilvl w:val="0"/>
          <w:numId w:val="3"/>
        </w:numPr>
        <w:contextualSpacing/>
        <w:rPr>
          <w:rFonts w:ascii="Calibri" w:eastAsia="Calibri" w:hAnsi="Calibri" w:cs="Calibri"/>
          <w:color w:val="auto"/>
        </w:rPr>
      </w:pPr>
      <w:r w:rsidRPr="002B71D5">
        <w:rPr>
          <w:rFonts w:ascii="Calibri" w:eastAsia="Calibri" w:hAnsi="Calibri" w:cs="Calibri"/>
          <w:color w:val="auto"/>
        </w:rPr>
        <w:t>An issue primer on new traffic court rules and laws;</w:t>
      </w:r>
    </w:p>
    <w:p w:rsidR="00701A9A" w:rsidRPr="002B71D5" w:rsidRDefault="00DE5B24">
      <w:pPr>
        <w:numPr>
          <w:ilvl w:val="0"/>
          <w:numId w:val="3"/>
        </w:numPr>
        <w:contextualSpacing/>
        <w:rPr>
          <w:rFonts w:ascii="Calibri" w:eastAsia="Calibri" w:hAnsi="Calibri" w:cs="Calibri"/>
          <w:color w:val="auto"/>
        </w:rPr>
      </w:pPr>
      <w:r w:rsidRPr="002B71D5">
        <w:rPr>
          <w:rFonts w:ascii="Calibri" w:eastAsia="Calibri" w:hAnsi="Calibri" w:cs="Calibri"/>
          <w:color w:val="auto"/>
        </w:rPr>
        <w:t>Examples of motions and other model court filings;</w:t>
      </w:r>
    </w:p>
    <w:p w:rsidR="00701A9A" w:rsidRPr="002B71D5" w:rsidRDefault="00DE5B24">
      <w:pPr>
        <w:numPr>
          <w:ilvl w:val="0"/>
          <w:numId w:val="3"/>
        </w:numPr>
        <w:contextualSpacing/>
        <w:rPr>
          <w:rFonts w:ascii="Calibri" w:eastAsia="Calibri" w:hAnsi="Calibri" w:cs="Calibri"/>
          <w:color w:val="auto"/>
        </w:rPr>
      </w:pPr>
      <w:r w:rsidRPr="002B71D5">
        <w:rPr>
          <w:rFonts w:ascii="Calibri" w:eastAsia="Calibri" w:hAnsi="Calibri" w:cs="Calibri"/>
          <w:color w:val="auto"/>
        </w:rPr>
        <w:t>“Know Your Rights” materials; and</w:t>
      </w:r>
    </w:p>
    <w:p w:rsidR="00701A9A" w:rsidRPr="002B71D5" w:rsidRDefault="00DE5B24">
      <w:pPr>
        <w:numPr>
          <w:ilvl w:val="0"/>
          <w:numId w:val="3"/>
        </w:numPr>
        <w:contextualSpacing/>
        <w:rPr>
          <w:rFonts w:ascii="Calibri" w:eastAsia="Calibri" w:hAnsi="Calibri" w:cs="Calibri"/>
          <w:color w:val="auto"/>
        </w:rPr>
      </w:pPr>
      <w:r w:rsidRPr="002B71D5">
        <w:rPr>
          <w:rFonts w:ascii="Calibri" w:eastAsia="Calibri" w:hAnsi="Calibri" w:cs="Calibri"/>
          <w:color w:val="auto"/>
        </w:rPr>
        <w:t>Monitoring and advocacy resources.</w:t>
      </w:r>
    </w:p>
    <w:p w:rsidR="00701A9A" w:rsidRPr="002B71D5" w:rsidRDefault="00701A9A">
      <w:pPr>
        <w:rPr>
          <w:rFonts w:ascii="Calibri" w:eastAsia="Calibri" w:hAnsi="Calibri" w:cs="Calibri"/>
          <w:color w:val="auto"/>
        </w:rPr>
      </w:pPr>
    </w:p>
    <w:p w:rsidR="00701A9A" w:rsidRPr="002B71D5" w:rsidRDefault="00DE5B24">
      <w:pPr>
        <w:rPr>
          <w:rFonts w:ascii="Calibri" w:eastAsia="Calibri" w:hAnsi="Calibri" w:cs="Calibri"/>
          <w:color w:val="auto"/>
        </w:rPr>
      </w:pPr>
      <w:r w:rsidRPr="002B71D5">
        <w:rPr>
          <w:rFonts w:ascii="Calibri" w:eastAsia="Calibri" w:hAnsi="Calibri" w:cs="Calibri"/>
          <w:color w:val="auto"/>
        </w:rPr>
        <w:t xml:space="preserve">“The aim of the toolkit is to empower local advocates across California to create change within their own communities,” said Brittany Stonesifer, a staff attorney with Legal Services for Prisoners with Children and a co-author of the toolkit. The group is also interested in tracking county compliance with the new regulations, which their research has suggested is still incomplete. </w:t>
      </w:r>
    </w:p>
    <w:p w:rsidR="00701A9A" w:rsidRPr="002B71D5" w:rsidRDefault="00701A9A">
      <w:pPr>
        <w:rPr>
          <w:rFonts w:ascii="Calibri" w:eastAsia="Calibri" w:hAnsi="Calibri" w:cs="Calibri"/>
          <w:color w:val="auto"/>
        </w:rPr>
      </w:pPr>
      <w:bookmarkStart w:id="0" w:name="_GoBack"/>
      <w:bookmarkEnd w:id="0"/>
    </w:p>
    <w:p w:rsidR="00701A9A" w:rsidRDefault="00905161">
      <w:pPr>
        <w:rPr>
          <w:rFonts w:ascii="Calibri" w:eastAsia="Calibri" w:hAnsi="Calibri" w:cs="Calibri"/>
          <w:color w:val="222222"/>
        </w:rPr>
      </w:pPr>
      <w:r>
        <w:rPr>
          <w:rFonts w:ascii="Calibri" w:eastAsia="Calibri" w:hAnsi="Calibri" w:cs="Calibri"/>
          <w:color w:val="auto"/>
        </w:rPr>
        <w:t>The Berkeley-based East Bay</w:t>
      </w:r>
      <w:r w:rsidR="00DE5B24" w:rsidRPr="002B71D5">
        <w:rPr>
          <w:rFonts w:ascii="Calibri" w:eastAsia="Calibri" w:hAnsi="Calibri" w:cs="Calibri"/>
          <w:color w:val="auto"/>
        </w:rPr>
        <w:t xml:space="preserve"> Community Law Center is maintaining </w:t>
      </w:r>
      <w:hyperlink r:id="rId13">
        <w:r w:rsidR="00DE5B24">
          <w:rPr>
            <w:rFonts w:ascii="Calibri" w:eastAsia="Calibri" w:hAnsi="Calibri" w:cs="Calibri"/>
            <w:color w:val="1155CC"/>
            <w:u w:val="single"/>
          </w:rPr>
          <w:t>an online guide</w:t>
        </w:r>
      </w:hyperlink>
      <w:r w:rsidR="00DE5B24">
        <w:rPr>
          <w:rFonts w:ascii="Calibri" w:eastAsia="Calibri" w:hAnsi="Calibri" w:cs="Calibri"/>
          <w:color w:val="500050"/>
        </w:rPr>
        <w:t xml:space="preserve"> </w:t>
      </w:r>
      <w:r w:rsidR="00DE5B24" w:rsidRPr="002B71D5">
        <w:rPr>
          <w:rFonts w:ascii="Calibri" w:eastAsia="Calibri" w:hAnsi="Calibri" w:cs="Calibri"/>
          <w:color w:val="auto"/>
        </w:rPr>
        <w:t xml:space="preserve">to all 58 California counties’ traffic court ability-to-pay resources and is asking that people </w:t>
      </w:r>
      <w:r w:rsidR="00DE5B24">
        <w:rPr>
          <w:rFonts w:ascii="Calibri" w:eastAsia="Calibri" w:hAnsi="Calibri" w:cs="Calibri"/>
          <w:color w:val="222222"/>
        </w:rPr>
        <w:t xml:space="preserve">who use the toolkit keep their group informed of happenings in their local courts by using </w:t>
      </w:r>
      <w:hyperlink r:id="rId14">
        <w:r w:rsidR="00DE5B24">
          <w:rPr>
            <w:rFonts w:ascii="Calibri" w:eastAsia="Calibri" w:hAnsi="Calibri" w:cs="Calibri"/>
            <w:color w:val="1155CC"/>
            <w:u w:val="single"/>
          </w:rPr>
          <w:t>this form</w:t>
        </w:r>
      </w:hyperlink>
      <w:r w:rsidR="00DE5B24">
        <w:rPr>
          <w:rFonts w:ascii="Calibri" w:eastAsia="Calibri" w:hAnsi="Calibri" w:cs="Calibri"/>
          <w:color w:val="222222"/>
        </w:rPr>
        <w:t xml:space="preserve">. </w:t>
      </w:r>
    </w:p>
    <w:p w:rsidR="00701A9A" w:rsidRDefault="00701A9A">
      <w:pPr>
        <w:rPr>
          <w:rFonts w:ascii="Calibri" w:eastAsia="Calibri" w:hAnsi="Calibri" w:cs="Calibri"/>
          <w:color w:val="222222"/>
        </w:rPr>
      </w:pPr>
    </w:p>
    <w:p w:rsidR="00701A9A" w:rsidRPr="00905161" w:rsidRDefault="00DE5B24">
      <w:pPr>
        <w:rPr>
          <w:rFonts w:ascii="Calibri" w:eastAsia="Calibri" w:hAnsi="Calibri" w:cs="Calibri"/>
          <w:color w:val="222222"/>
        </w:rPr>
      </w:pPr>
      <w:r w:rsidRPr="00905161">
        <w:rPr>
          <w:rFonts w:ascii="Calibri" w:eastAsia="Calibri" w:hAnsi="Calibri" w:cs="Calibri"/>
          <w:color w:val="222222"/>
        </w:rPr>
        <w:t>“New laws around the right to an ability-to-pay</w:t>
      </w:r>
      <w:r w:rsidR="002B71D5" w:rsidRPr="00905161">
        <w:rPr>
          <w:rFonts w:ascii="Calibri" w:eastAsia="Calibri" w:hAnsi="Calibri" w:cs="Calibri"/>
          <w:color w:val="222222"/>
        </w:rPr>
        <w:t xml:space="preserve"> hearing are not self-enforcing,” said Theresa Zhen, a staff attorney at the East Bay Community Law Center.</w:t>
      </w:r>
      <w:r w:rsidRPr="00905161">
        <w:rPr>
          <w:rFonts w:ascii="Calibri" w:eastAsia="Calibri" w:hAnsi="Calibri" w:cs="Calibri"/>
          <w:color w:val="222222"/>
        </w:rPr>
        <w:t xml:space="preserve"> </w:t>
      </w:r>
      <w:r w:rsidR="002B71D5" w:rsidRPr="00905161">
        <w:rPr>
          <w:rFonts w:ascii="Calibri" w:eastAsia="Calibri" w:hAnsi="Calibri" w:cs="Calibri"/>
          <w:color w:val="222222"/>
        </w:rPr>
        <w:t>“</w:t>
      </w:r>
      <w:r w:rsidRPr="00905161">
        <w:rPr>
          <w:rFonts w:ascii="Calibri" w:eastAsia="Calibri" w:hAnsi="Calibri" w:cs="Calibri"/>
          <w:color w:val="222222"/>
        </w:rPr>
        <w:t xml:space="preserve">Our new toolkit and 58-county guide strives to equip advocates with the materials to protect the rights of low-income litigants in traffic court.” </w:t>
      </w:r>
    </w:p>
    <w:p w:rsidR="00701A9A" w:rsidRDefault="00701A9A">
      <w:pPr>
        <w:rPr>
          <w:rFonts w:ascii="Calibri" w:eastAsia="Calibri" w:hAnsi="Calibri" w:cs="Calibri"/>
          <w:color w:val="222222"/>
        </w:rPr>
      </w:pPr>
    </w:p>
    <w:p w:rsidR="00701A9A" w:rsidRDefault="00DE5B24">
      <w:pPr>
        <w:rPr>
          <w:rFonts w:ascii="Calibri" w:eastAsia="Calibri" w:hAnsi="Calibri" w:cs="Calibri"/>
          <w:color w:val="222222"/>
        </w:rPr>
      </w:pPr>
      <w:r>
        <w:rPr>
          <w:rFonts w:ascii="Calibri" w:eastAsia="Calibri" w:hAnsi="Calibri" w:cs="Calibri"/>
          <w:color w:val="222222"/>
        </w:rPr>
        <w:t xml:space="preserve">As past reports from the coalition </w:t>
      </w:r>
      <w:hyperlink r:id="rId15">
        <w:r>
          <w:rPr>
            <w:rFonts w:ascii="Calibri" w:eastAsia="Calibri" w:hAnsi="Calibri" w:cs="Calibri"/>
            <w:color w:val="1155CC"/>
            <w:u w:val="single"/>
          </w:rPr>
          <w:t>highlight</w:t>
        </w:r>
      </w:hyperlink>
      <w:r>
        <w:rPr>
          <w:rFonts w:ascii="Calibri" w:eastAsia="Calibri" w:hAnsi="Calibri" w:cs="Calibri"/>
          <w:color w:val="222222"/>
        </w:rPr>
        <w:t xml:space="preserve">, unaffordable traffic tickets and overly-aggressive collections methods can force many families to choose between paying for rent or food and paying off court debt. Those harmed by this system are disproportionately people of color. </w:t>
      </w:r>
    </w:p>
    <w:p w:rsidR="00701A9A" w:rsidRDefault="00701A9A">
      <w:pPr>
        <w:rPr>
          <w:rFonts w:ascii="Calibri" w:eastAsia="Calibri" w:hAnsi="Calibri" w:cs="Calibri"/>
          <w:color w:val="222222"/>
        </w:rPr>
      </w:pPr>
    </w:p>
    <w:p w:rsidR="00701A9A" w:rsidRDefault="00DE5B24">
      <w:pPr>
        <w:rPr>
          <w:rFonts w:ascii="Calibri" w:eastAsia="Calibri" w:hAnsi="Calibri" w:cs="Calibri"/>
          <w:color w:val="222222"/>
        </w:rPr>
      </w:pPr>
      <w:r>
        <w:rPr>
          <w:rFonts w:ascii="Calibri" w:eastAsia="Calibri" w:hAnsi="Calibri" w:cs="Calibri"/>
          <w:color w:val="222222"/>
        </w:rPr>
        <w:t>“A fines and fees system that does not consider ability to pay is inherently an unequal one,” said Devon Porter, Liman fellow at the ACLU of Southern California. “New statewide policies will help ensure that Californians will no longer be punished for being poor.”</w:t>
      </w:r>
    </w:p>
    <w:p w:rsidR="00701A9A" w:rsidRDefault="00701A9A">
      <w:pPr>
        <w:rPr>
          <w:rFonts w:ascii="Calibri" w:eastAsia="Calibri" w:hAnsi="Calibri" w:cs="Calibri"/>
          <w:color w:val="222222"/>
        </w:rPr>
      </w:pPr>
    </w:p>
    <w:p w:rsidR="00701A9A" w:rsidRPr="002B71D5" w:rsidRDefault="00DE5B24">
      <w:pPr>
        <w:rPr>
          <w:rFonts w:ascii="Calibri" w:eastAsia="Calibri" w:hAnsi="Calibri" w:cs="Calibri"/>
          <w:color w:val="222222"/>
          <w:highlight w:val="white"/>
        </w:rPr>
      </w:pPr>
      <w:r w:rsidRPr="002B71D5">
        <w:rPr>
          <w:rFonts w:ascii="Calibri" w:eastAsia="Calibri" w:hAnsi="Calibri" w:cs="Calibri"/>
          <w:color w:val="222222"/>
          <w:highlight w:val="white"/>
        </w:rPr>
        <w:t>The Back on the Road Coalition advocates for legal reforms to help low-income drivers</w:t>
      </w:r>
      <w:r w:rsidR="00E36CBB">
        <w:rPr>
          <w:rFonts w:ascii="Calibri" w:eastAsia="Calibri" w:hAnsi="Calibri" w:cs="Calibri"/>
          <w:color w:val="222222"/>
          <w:highlight w:val="white"/>
        </w:rPr>
        <w:t xml:space="preserve"> and helps guide implementation of those rules</w:t>
      </w:r>
      <w:r w:rsidRPr="002B71D5">
        <w:rPr>
          <w:rFonts w:ascii="Calibri" w:eastAsia="Calibri" w:hAnsi="Calibri" w:cs="Calibri"/>
          <w:color w:val="222222"/>
          <w:highlight w:val="white"/>
        </w:rPr>
        <w:t xml:space="preserve">. The coalition includes the </w:t>
      </w:r>
      <w:r>
        <w:rPr>
          <w:rFonts w:ascii="Calibri" w:eastAsia="Calibri" w:hAnsi="Calibri" w:cs="Calibri"/>
          <w:color w:val="222222"/>
          <w:highlight w:val="white"/>
        </w:rPr>
        <w:t xml:space="preserve">ACLU of Northern California, ACLU of Southern California, </w:t>
      </w:r>
      <w:r w:rsidR="00E36CBB">
        <w:rPr>
          <w:rFonts w:ascii="Calibri" w:eastAsia="Calibri" w:hAnsi="Calibri" w:cs="Calibri"/>
          <w:color w:val="222222"/>
          <w:highlight w:val="white"/>
        </w:rPr>
        <w:t xml:space="preserve">Bay Area Legal Aid, </w:t>
      </w:r>
      <w:r w:rsidR="00905161">
        <w:rPr>
          <w:rFonts w:ascii="Calibri" w:eastAsia="Calibri" w:hAnsi="Calibri" w:cs="Calibri"/>
          <w:color w:val="222222"/>
          <w:highlight w:val="white"/>
        </w:rPr>
        <w:t xml:space="preserve">Community Housing Partnership, </w:t>
      </w:r>
      <w:r>
        <w:rPr>
          <w:rFonts w:ascii="Calibri" w:eastAsia="Calibri" w:hAnsi="Calibri" w:cs="Calibri"/>
          <w:color w:val="222222"/>
          <w:highlight w:val="white"/>
        </w:rPr>
        <w:t>East Bay Community Law Center, Lawyers’ Committee for Civil Rights of the San Francisco Bay Area, Legal Servic</w:t>
      </w:r>
      <w:r w:rsidR="00E36CBB">
        <w:rPr>
          <w:rFonts w:ascii="Calibri" w:eastAsia="Calibri" w:hAnsi="Calibri" w:cs="Calibri"/>
          <w:color w:val="222222"/>
          <w:highlight w:val="white"/>
        </w:rPr>
        <w:t xml:space="preserve">es for Prisoners with Children, Legal Services of Northern California, </w:t>
      </w:r>
      <w:r>
        <w:rPr>
          <w:rFonts w:ascii="Calibri" w:eastAsia="Calibri" w:hAnsi="Calibri" w:cs="Calibri"/>
          <w:color w:val="222222"/>
          <w:highlight w:val="white"/>
        </w:rPr>
        <w:t>and the Western Center on Law and Poverty.</w:t>
      </w:r>
    </w:p>
    <w:p w:rsidR="00701A9A" w:rsidRPr="002B71D5" w:rsidRDefault="00701A9A">
      <w:pPr>
        <w:rPr>
          <w:rFonts w:ascii="Calibri" w:eastAsia="Calibri" w:hAnsi="Calibri" w:cs="Calibri"/>
          <w:color w:val="222222"/>
          <w:highlight w:val="white"/>
        </w:rPr>
      </w:pPr>
    </w:p>
    <w:p w:rsidR="00701A9A" w:rsidRPr="002B71D5" w:rsidRDefault="00DE5B24">
      <w:pPr>
        <w:rPr>
          <w:rFonts w:ascii="Calibri" w:eastAsia="Calibri" w:hAnsi="Calibri" w:cs="Calibri"/>
          <w:color w:val="222222"/>
          <w:highlight w:val="white"/>
        </w:rPr>
      </w:pPr>
      <w:r w:rsidRPr="002B71D5">
        <w:rPr>
          <w:rFonts w:ascii="Calibri" w:eastAsia="Calibri" w:hAnsi="Calibri" w:cs="Calibri"/>
          <w:color w:val="222222"/>
          <w:highlight w:val="white"/>
        </w:rPr>
        <w:t>###</w:t>
      </w:r>
    </w:p>
    <w:sectPr w:rsidR="00701A9A" w:rsidRPr="002B71D5" w:rsidSect="00357601">
      <w:pgSz w:w="12240" w:h="15840"/>
      <w:pgMar w:top="1440" w:right="1440" w:bottom="1440" w:left="1440" w:header="0" w:gutter="0"/>
      <w:pgNumType w:start="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99DBE6" w15:done="0"/>
  <w15:commentEx w15:paraId="4999B7C7" w15:paraIdParent="3B99DBE6" w15:done="0"/>
  <w15:commentEx w15:paraId="1895D77B"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egoe UI">
    <w:altName w:val="Cambria"/>
    <w:panose1 w:val="00000000000000000000"/>
    <w:charset w:val="00"/>
    <w:family w:val="swiss"/>
    <w:notTrueType/>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9831C2F"/>
    <w:multiLevelType w:val="multilevel"/>
    <w:tmpl w:val="FE300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AA26FE1"/>
    <w:multiLevelType w:val="multilevel"/>
    <w:tmpl w:val="C3A04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D616AF7"/>
    <w:multiLevelType w:val="multilevel"/>
    <w:tmpl w:val="AED844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von Porter">
    <w15:presenceInfo w15:providerId="None" w15:userId="Devon Port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compat/>
  <w:rsids>
    <w:rsidRoot w:val="00701A9A"/>
    <w:rsid w:val="002B71D5"/>
    <w:rsid w:val="00357601"/>
    <w:rsid w:val="00701A9A"/>
    <w:rsid w:val="007B7454"/>
    <w:rsid w:val="00905161"/>
    <w:rsid w:val="00DE5B24"/>
    <w:rsid w:val="00E36CBB"/>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7601"/>
  </w:style>
  <w:style w:type="paragraph" w:styleId="Heading1">
    <w:name w:val="heading 1"/>
    <w:basedOn w:val="Normal"/>
    <w:next w:val="Normal"/>
    <w:rsid w:val="00357601"/>
    <w:pPr>
      <w:keepNext/>
      <w:keepLines/>
      <w:spacing w:before="400" w:after="120"/>
      <w:outlineLvl w:val="0"/>
    </w:pPr>
    <w:rPr>
      <w:sz w:val="40"/>
      <w:szCs w:val="40"/>
    </w:rPr>
  </w:style>
  <w:style w:type="paragraph" w:styleId="Heading2">
    <w:name w:val="heading 2"/>
    <w:basedOn w:val="Normal"/>
    <w:next w:val="Normal"/>
    <w:rsid w:val="00357601"/>
    <w:pPr>
      <w:keepNext/>
      <w:keepLines/>
      <w:spacing w:before="360" w:after="120"/>
      <w:outlineLvl w:val="1"/>
    </w:pPr>
    <w:rPr>
      <w:sz w:val="32"/>
      <w:szCs w:val="32"/>
    </w:rPr>
  </w:style>
  <w:style w:type="paragraph" w:styleId="Heading3">
    <w:name w:val="heading 3"/>
    <w:basedOn w:val="Normal"/>
    <w:next w:val="Normal"/>
    <w:rsid w:val="00357601"/>
    <w:pPr>
      <w:keepNext/>
      <w:keepLines/>
      <w:spacing w:before="320" w:after="80"/>
      <w:outlineLvl w:val="2"/>
    </w:pPr>
    <w:rPr>
      <w:color w:val="434343"/>
      <w:sz w:val="28"/>
      <w:szCs w:val="28"/>
    </w:rPr>
  </w:style>
  <w:style w:type="paragraph" w:styleId="Heading4">
    <w:name w:val="heading 4"/>
    <w:basedOn w:val="Normal"/>
    <w:next w:val="Normal"/>
    <w:rsid w:val="00357601"/>
    <w:pPr>
      <w:keepNext/>
      <w:keepLines/>
      <w:spacing w:before="280" w:after="80"/>
      <w:outlineLvl w:val="3"/>
    </w:pPr>
    <w:rPr>
      <w:color w:val="666666"/>
      <w:sz w:val="24"/>
      <w:szCs w:val="24"/>
    </w:rPr>
  </w:style>
  <w:style w:type="paragraph" w:styleId="Heading5">
    <w:name w:val="heading 5"/>
    <w:basedOn w:val="Normal"/>
    <w:next w:val="Normal"/>
    <w:rsid w:val="00357601"/>
    <w:pPr>
      <w:keepNext/>
      <w:keepLines/>
      <w:spacing w:before="240" w:after="80"/>
      <w:outlineLvl w:val="4"/>
    </w:pPr>
    <w:rPr>
      <w:color w:val="666666"/>
    </w:rPr>
  </w:style>
  <w:style w:type="paragraph" w:styleId="Heading6">
    <w:name w:val="heading 6"/>
    <w:basedOn w:val="Normal"/>
    <w:next w:val="Normal"/>
    <w:rsid w:val="00357601"/>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2B71D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8A1"/>
    <w:rPr>
      <w:rFonts w:ascii="Lucida Grande" w:hAnsi="Lucida Grande"/>
      <w:sz w:val="18"/>
      <w:szCs w:val="18"/>
    </w:rPr>
  </w:style>
  <w:style w:type="character" w:customStyle="1" w:styleId="BalloonTextChar0">
    <w:name w:val="Balloon Text Char"/>
    <w:basedOn w:val="DefaultParagraphFont"/>
    <w:link w:val="BalloonText"/>
    <w:uiPriority w:val="99"/>
    <w:semiHidden/>
    <w:rsid w:val="000948A1"/>
    <w:rPr>
      <w:rFonts w:ascii="Lucida Grande" w:hAnsi="Lucida Grande"/>
      <w:sz w:val="18"/>
      <w:szCs w:val="18"/>
    </w:rPr>
  </w:style>
  <w:style w:type="paragraph" w:styleId="Title">
    <w:name w:val="Title"/>
    <w:basedOn w:val="Normal"/>
    <w:next w:val="Normal"/>
    <w:rsid w:val="00357601"/>
    <w:pPr>
      <w:keepNext/>
      <w:keepLines/>
      <w:spacing w:after="60"/>
    </w:pPr>
    <w:rPr>
      <w:sz w:val="52"/>
      <w:szCs w:val="52"/>
    </w:rPr>
  </w:style>
  <w:style w:type="paragraph" w:styleId="Subtitle">
    <w:name w:val="Subtitle"/>
    <w:basedOn w:val="Normal"/>
    <w:next w:val="Normal"/>
    <w:rsid w:val="00357601"/>
    <w:pPr>
      <w:keepNext/>
      <w:keepLines/>
      <w:spacing w:after="320"/>
    </w:pPr>
    <w:rPr>
      <w:color w:val="666666"/>
      <w:sz w:val="30"/>
      <w:szCs w:val="30"/>
    </w:rPr>
  </w:style>
  <w:style w:type="paragraph" w:styleId="CommentText">
    <w:name w:val="annotation text"/>
    <w:basedOn w:val="Normal"/>
    <w:link w:val="CommentTextChar"/>
    <w:uiPriority w:val="99"/>
    <w:semiHidden/>
    <w:unhideWhenUsed/>
    <w:rsid w:val="00357601"/>
    <w:pPr>
      <w:spacing w:line="240" w:lineRule="auto"/>
    </w:pPr>
    <w:rPr>
      <w:sz w:val="20"/>
      <w:szCs w:val="20"/>
    </w:rPr>
  </w:style>
  <w:style w:type="character" w:customStyle="1" w:styleId="CommentTextChar">
    <w:name w:val="Comment Text Char"/>
    <w:basedOn w:val="DefaultParagraphFont"/>
    <w:link w:val="CommentText"/>
    <w:uiPriority w:val="99"/>
    <w:semiHidden/>
    <w:rsid w:val="00357601"/>
    <w:rPr>
      <w:sz w:val="20"/>
      <w:szCs w:val="20"/>
    </w:rPr>
  </w:style>
  <w:style w:type="character" w:styleId="CommentReference">
    <w:name w:val="annotation reference"/>
    <w:basedOn w:val="DefaultParagraphFont"/>
    <w:uiPriority w:val="99"/>
    <w:semiHidden/>
    <w:unhideWhenUsed/>
    <w:rsid w:val="00357601"/>
    <w:rPr>
      <w:sz w:val="16"/>
      <w:szCs w:val="16"/>
    </w:rPr>
  </w:style>
  <w:style w:type="character" w:customStyle="1" w:styleId="BalloonTextChar1">
    <w:name w:val="Balloon Text Char1"/>
    <w:basedOn w:val="DefaultParagraphFont"/>
    <w:link w:val="BalloonText"/>
    <w:uiPriority w:val="99"/>
    <w:semiHidden/>
    <w:rsid w:val="002B71D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B71D5"/>
    <w:rPr>
      <w:b/>
      <w:bCs/>
    </w:rPr>
  </w:style>
  <w:style w:type="character" w:customStyle="1" w:styleId="CommentSubjectChar">
    <w:name w:val="Comment Subject Char"/>
    <w:basedOn w:val="CommentTextChar"/>
    <w:link w:val="CommentSubject"/>
    <w:uiPriority w:val="99"/>
    <w:semiHidden/>
    <w:rsid w:val="002B71D5"/>
    <w:rPr>
      <w:b/>
      <w:bCs/>
      <w:sz w:val="20"/>
      <w:szCs w:val="20"/>
    </w:rPr>
  </w:style>
  <w:style w:type="character" w:styleId="Hyperlink">
    <w:name w:val="Hyperlink"/>
    <w:basedOn w:val="DefaultParagraphFont"/>
    <w:uiPriority w:val="99"/>
    <w:unhideWhenUsed/>
    <w:rsid w:val="002B71D5"/>
    <w:rPr>
      <w:color w:val="0563C1" w:themeColor="hyperlink"/>
      <w:u w:val="single"/>
    </w:rPr>
  </w:style>
  <w:style w:type="character" w:styleId="FollowedHyperlink">
    <w:name w:val="FollowedHyperlink"/>
    <w:basedOn w:val="DefaultParagraphFont"/>
    <w:uiPriority w:val="99"/>
    <w:semiHidden/>
    <w:unhideWhenUsed/>
    <w:rsid w:val="002B71D5"/>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newsroom.courts.ca.gov/news/council-approves-new-rules-to-better-inform-defendants-of-their-rights-in-infraction-cases" TargetMode="External"/><Relationship Id="rId12" Type="http://schemas.openxmlformats.org/officeDocument/2006/relationships/image" Target="media/image1.gif"/><Relationship Id="rId13" Type="http://schemas.openxmlformats.org/officeDocument/2006/relationships/hyperlink" Target="https://ebclc.org/reentry-legal-services/" TargetMode="External"/><Relationship Id="rId14" Type="http://schemas.openxmlformats.org/officeDocument/2006/relationships/hyperlink" Target="https://docs.google.com/forms/d/e/1FAIpQLSd-P9jn14qf6uh0gg_dogOntDIuMkGFLJ9R_r6rPI9mLHw6Sg/viewform" TargetMode="External"/><Relationship Id="rId15" Type="http://schemas.openxmlformats.org/officeDocument/2006/relationships/hyperlink" Target="http://ebclc.org/wp-content/uploads/2015/10/Not-Just-a-Ferguson-Problem-How-Traffic-Courts-Drive-Inequality-in-California-4.20.15.pdf" TargetMode="Externa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commentsExtended" Target="commentsExtended.xml"/><Relationship Id="rId1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rittany@prisonerswithchildren.org" TargetMode="External"/><Relationship Id="rId6" Type="http://schemas.openxmlformats.org/officeDocument/2006/relationships/hyperlink" Target="mailto:tzhen@ebclc.org" TargetMode="External"/><Relationship Id="rId7" Type="http://schemas.openxmlformats.org/officeDocument/2006/relationships/hyperlink" Target="mailto:communications@aclusocal.org" TargetMode="External"/><Relationship Id="rId8" Type="http://schemas.openxmlformats.org/officeDocument/2006/relationships/hyperlink" Target="https://ebclc.org/backontheroad/get-involved/the-toolkit/" TargetMode="External"/><Relationship Id="rId9" Type="http://schemas.openxmlformats.org/officeDocument/2006/relationships/hyperlink" Target="https://www.lccr.com/wp-content/uploads/LCCR-Report-Paying-More-for-Being-Poor-May-2017.pdf" TargetMode="External"/><Relationship Id="rId10" Type="http://schemas.openxmlformats.org/officeDocument/2006/relationships/hyperlink" Target="http://www.mercurynews.com/2017/09/10/opinion-legislation-can-fix-paying-more-for-being-poor-in-traffic-f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599</Words>
  <Characters>3419</Characters>
  <Application>Microsoft Word 12.0.0</Application>
  <DocSecurity>0</DocSecurity>
  <Lines>28</Lines>
  <Paragraphs>6</Paragraphs>
  <ScaleCrop>false</ScaleCrop>
  <Company>ACLU of Southern California</Company>
  <LinksUpToDate>false</LinksUpToDate>
  <CharactersWithSpaces>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Brittany Stonesifer</cp:lastModifiedBy>
  <cp:revision>5</cp:revision>
  <dcterms:created xsi:type="dcterms:W3CDTF">2017-10-18T00:12:00Z</dcterms:created>
  <dcterms:modified xsi:type="dcterms:W3CDTF">2017-10-18T02:01:00Z</dcterms:modified>
</cp:coreProperties>
</file>